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MON_1025701931"/>
    <w:bookmarkStart w:id="1" w:name="_MON_944025144"/>
    <w:bookmarkEnd w:id="0"/>
    <w:bookmarkEnd w:id="1"/>
    <w:bookmarkStart w:id="2" w:name="_MON_945866141"/>
    <w:bookmarkEnd w:id="2"/>
    <w:p w:rsidR="00CB6C53" w:rsidRDefault="00CB6C53">
      <w:pPr>
        <w:rPr>
          <w:sz w:val="22"/>
        </w:rPr>
      </w:pPr>
      <w:r>
        <w:object w:dxaOrig="5680" w:dyaOrig="21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2pt;height:58.2pt" o:ole="" fillcolor="window">
            <v:imagedata r:id="rId8" o:title=""/>
          </v:shape>
          <o:OLEObject Type="Embed" ProgID="Word.Picture.8" ShapeID="_x0000_i1025" DrawAspect="Content" ObjectID="_1657091731" r:id="rId9"/>
        </w:object>
      </w:r>
      <w:r>
        <w:tab/>
      </w:r>
      <w:r>
        <w:tab/>
      </w:r>
      <w:r>
        <w:tab/>
      </w:r>
      <w:r>
        <w:tab/>
      </w:r>
      <w:r>
        <w:tab/>
      </w:r>
      <w:r>
        <w:tab/>
      </w:r>
      <w:r>
        <w:tab/>
      </w:r>
      <w:bookmarkStart w:id="3" w:name="_GoBack"/>
      <w:bookmarkEnd w:id="3"/>
      <w:r>
        <w:tab/>
      </w:r>
    </w:p>
    <w:p w:rsidR="00CB6C53" w:rsidRDefault="00CB6C53">
      <w:pPr>
        <w:pStyle w:val="Header"/>
        <w:tabs>
          <w:tab w:val="clear" w:pos="4536"/>
          <w:tab w:val="clear" w:pos="9072"/>
        </w:tabs>
      </w:pPr>
    </w:p>
    <w:p w:rsidR="00CB6C53" w:rsidRDefault="00CB6C53">
      <w:pPr>
        <w:ind w:left="-709" w:right="5386"/>
        <w:jc w:val="center"/>
        <w:rPr>
          <w:i/>
        </w:rPr>
      </w:pPr>
    </w:p>
    <w:p w:rsidR="00CB6C53" w:rsidRPr="00C90C75" w:rsidRDefault="00265123">
      <w:pPr>
        <w:ind w:left="-709" w:right="5386"/>
        <w:jc w:val="center"/>
        <w:rPr>
          <w:i/>
        </w:rPr>
      </w:pPr>
      <w:r w:rsidRPr="00C90C75">
        <w:rPr>
          <w:i/>
          <w:szCs w:val="24"/>
        </w:rPr>
        <w:t>Unité d’</w:t>
      </w:r>
      <w:r w:rsidR="00C90C75" w:rsidRPr="00C90C75">
        <w:rPr>
          <w:i/>
          <w:szCs w:val="24"/>
        </w:rPr>
        <w:t>Anthropologie &amp; Ecologie de l’</w:t>
      </w:r>
      <w:r w:rsidR="00C90C75">
        <w:rPr>
          <w:i/>
          <w:szCs w:val="24"/>
        </w:rPr>
        <w:t>Emergence des Maladies</w:t>
      </w:r>
    </w:p>
    <w:p w:rsidR="00CB6C53" w:rsidRPr="00C90C75" w:rsidRDefault="00CB6C53">
      <w:pPr>
        <w:ind w:left="-709" w:right="5386"/>
        <w:jc w:val="center"/>
        <w:rPr>
          <w:rFonts w:ascii="Arial Narrow" w:hAnsi="Arial Narrow"/>
          <w:i/>
        </w:rPr>
      </w:pPr>
    </w:p>
    <w:p w:rsidR="00265123" w:rsidRPr="00C90C75" w:rsidRDefault="00265123" w:rsidP="00265123">
      <w:pPr>
        <w:rPr>
          <w:szCs w:val="24"/>
        </w:rPr>
      </w:pPr>
    </w:p>
    <w:p w:rsidR="00FB59F5" w:rsidRPr="000951B8" w:rsidRDefault="00FB59F5" w:rsidP="00FB59F5">
      <w:pPr>
        <w:autoSpaceDE w:val="0"/>
        <w:autoSpaceDN w:val="0"/>
        <w:adjustRightInd w:val="0"/>
        <w:ind w:left="5387"/>
        <w:rPr>
          <w:rFonts w:eastAsia="Calibri"/>
          <w:color w:val="000000"/>
          <w:szCs w:val="24"/>
          <w:lang w:val="en-US"/>
        </w:rPr>
      </w:pPr>
      <w:r w:rsidRPr="000951B8">
        <w:rPr>
          <w:rFonts w:eastAsia="Calibri"/>
          <w:b/>
          <w:bCs/>
          <w:color w:val="000000"/>
          <w:szCs w:val="24"/>
          <w:lang w:val="en-US"/>
        </w:rPr>
        <w:t xml:space="preserve">Armenia National CDC </w:t>
      </w:r>
      <w:r w:rsidRPr="000951B8">
        <w:rPr>
          <w:rFonts w:eastAsia="Calibri"/>
          <w:color w:val="000000"/>
          <w:szCs w:val="24"/>
          <w:lang w:val="en-US"/>
        </w:rPr>
        <w:t xml:space="preserve">St. David </w:t>
      </w:r>
      <w:proofErr w:type="spellStart"/>
      <w:r w:rsidRPr="000951B8">
        <w:rPr>
          <w:rFonts w:eastAsia="Calibri"/>
          <w:color w:val="000000"/>
          <w:szCs w:val="24"/>
          <w:lang w:val="en-US"/>
        </w:rPr>
        <w:t>Malyan</w:t>
      </w:r>
      <w:proofErr w:type="spellEnd"/>
      <w:r w:rsidRPr="000951B8">
        <w:rPr>
          <w:rFonts w:eastAsia="Calibri"/>
          <w:color w:val="000000"/>
          <w:szCs w:val="24"/>
          <w:lang w:val="en-US"/>
        </w:rPr>
        <w:t xml:space="preserve">, 37, Yerevan, Armenia </w:t>
      </w:r>
    </w:p>
    <w:p w:rsidR="00FB59F5" w:rsidRPr="000951B8" w:rsidRDefault="00FB59F5" w:rsidP="00FB59F5">
      <w:pPr>
        <w:autoSpaceDE w:val="0"/>
        <w:autoSpaceDN w:val="0"/>
        <w:adjustRightInd w:val="0"/>
        <w:ind w:left="5387"/>
        <w:rPr>
          <w:rFonts w:eastAsia="Calibri"/>
          <w:color w:val="000000"/>
          <w:szCs w:val="24"/>
          <w:lang w:val="en-US"/>
        </w:rPr>
      </w:pPr>
    </w:p>
    <w:p w:rsidR="00FB59F5" w:rsidRPr="000951B8" w:rsidRDefault="00FB59F5" w:rsidP="00FB59F5">
      <w:pPr>
        <w:autoSpaceDE w:val="0"/>
        <w:autoSpaceDN w:val="0"/>
        <w:adjustRightInd w:val="0"/>
        <w:ind w:left="5387"/>
        <w:rPr>
          <w:rFonts w:eastAsia="Calibri"/>
          <w:color w:val="000000"/>
          <w:szCs w:val="24"/>
          <w:lang w:val="en-US"/>
        </w:rPr>
      </w:pPr>
      <w:r w:rsidRPr="000951B8">
        <w:rPr>
          <w:rFonts w:eastAsia="Calibri"/>
          <w:b/>
          <w:bCs/>
          <w:color w:val="000000"/>
          <w:szCs w:val="24"/>
          <w:lang w:val="en-US"/>
        </w:rPr>
        <w:t xml:space="preserve">Georgia’s National Center for Disease Control and Public Health (NCDC) </w:t>
      </w:r>
      <w:r w:rsidRPr="000951B8">
        <w:rPr>
          <w:rFonts w:eastAsia="Calibri"/>
          <w:color w:val="000000"/>
          <w:szCs w:val="24"/>
          <w:lang w:val="en-US"/>
        </w:rPr>
        <w:t>Kakheti highway no.99, Tbilisi, Georgia</w:t>
      </w:r>
    </w:p>
    <w:p w:rsidR="00FB59F5" w:rsidRPr="000951B8" w:rsidRDefault="00FB59F5" w:rsidP="00FB59F5">
      <w:pPr>
        <w:autoSpaceDE w:val="0"/>
        <w:autoSpaceDN w:val="0"/>
        <w:adjustRightInd w:val="0"/>
        <w:ind w:left="5387"/>
        <w:rPr>
          <w:rFonts w:eastAsia="Calibri"/>
          <w:color w:val="000000"/>
          <w:szCs w:val="24"/>
          <w:lang w:val="en-US"/>
        </w:rPr>
      </w:pPr>
      <w:r w:rsidRPr="000951B8">
        <w:rPr>
          <w:rFonts w:eastAsia="Calibri"/>
          <w:color w:val="000000"/>
          <w:szCs w:val="24"/>
          <w:lang w:val="en-US"/>
        </w:rPr>
        <w:t xml:space="preserve"> </w:t>
      </w:r>
    </w:p>
    <w:p w:rsidR="00FB59F5" w:rsidRPr="000951B8" w:rsidRDefault="00FB59F5" w:rsidP="00FB59F5">
      <w:pPr>
        <w:autoSpaceDE w:val="0"/>
        <w:autoSpaceDN w:val="0"/>
        <w:adjustRightInd w:val="0"/>
        <w:ind w:left="5387"/>
        <w:rPr>
          <w:rFonts w:eastAsia="Calibri"/>
          <w:color w:val="000000"/>
          <w:szCs w:val="24"/>
          <w:lang w:val="en-US"/>
        </w:rPr>
      </w:pPr>
      <w:r w:rsidRPr="000951B8">
        <w:rPr>
          <w:rFonts w:eastAsia="Calibri"/>
          <w:b/>
          <w:bCs/>
          <w:color w:val="000000"/>
          <w:szCs w:val="24"/>
          <w:lang w:val="en-US"/>
        </w:rPr>
        <w:t xml:space="preserve">National Center of Public Health of Republic of Moldova </w:t>
      </w:r>
      <w:r w:rsidRPr="000951B8">
        <w:rPr>
          <w:rFonts w:eastAsia="Calibri"/>
          <w:color w:val="000000"/>
          <w:szCs w:val="24"/>
          <w:lang w:val="en-US"/>
        </w:rPr>
        <w:t xml:space="preserve">Str. </w:t>
      </w:r>
      <w:proofErr w:type="spellStart"/>
      <w:r w:rsidRPr="000951B8">
        <w:rPr>
          <w:rFonts w:eastAsia="Calibri"/>
          <w:color w:val="000000"/>
          <w:szCs w:val="24"/>
          <w:lang w:val="en-US"/>
        </w:rPr>
        <w:t>Gh</w:t>
      </w:r>
      <w:proofErr w:type="spellEnd"/>
      <w:r w:rsidRPr="000951B8">
        <w:rPr>
          <w:rFonts w:eastAsia="Calibri"/>
          <w:color w:val="000000"/>
          <w:szCs w:val="24"/>
          <w:lang w:val="en-US"/>
        </w:rPr>
        <w:t xml:space="preserve">. </w:t>
      </w:r>
      <w:proofErr w:type="spellStart"/>
      <w:r w:rsidRPr="000951B8">
        <w:rPr>
          <w:rFonts w:eastAsia="Calibri"/>
          <w:color w:val="000000"/>
          <w:szCs w:val="24"/>
          <w:lang w:val="en-US"/>
        </w:rPr>
        <w:t>Asachi</w:t>
      </w:r>
      <w:proofErr w:type="spellEnd"/>
      <w:r w:rsidRPr="000951B8">
        <w:rPr>
          <w:rFonts w:eastAsia="Calibri"/>
          <w:color w:val="000000"/>
          <w:szCs w:val="24"/>
          <w:lang w:val="en-US"/>
        </w:rPr>
        <w:t xml:space="preserve"> 67/a, Chisinau, Moldova</w:t>
      </w:r>
    </w:p>
    <w:p w:rsidR="00FB59F5" w:rsidRPr="000951B8" w:rsidRDefault="00FB59F5" w:rsidP="00FB59F5">
      <w:pPr>
        <w:autoSpaceDE w:val="0"/>
        <w:autoSpaceDN w:val="0"/>
        <w:adjustRightInd w:val="0"/>
        <w:ind w:left="5387"/>
        <w:rPr>
          <w:rFonts w:eastAsia="Calibri"/>
          <w:color w:val="000000"/>
          <w:szCs w:val="24"/>
          <w:lang w:val="en-US"/>
        </w:rPr>
      </w:pPr>
    </w:p>
    <w:p w:rsidR="00FB59F5" w:rsidRPr="000951B8" w:rsidRDefault="00FB59F5" w:rsidP="00FB59F5">
      <w:pPr>
        <w:autoSpaceDE w:val="0"/>
        <w:autoSpaceDN w:val="0"/>
        <w:adjustRightInd w:val="0"/>
        <w:jc w:val="both"/>
        <w:rPr>
          <w:rFonts w:eastAsia="Calibri"/>
          <w:color w:val="000000"/>
          <w:szCs w:val="24"/>
          <w:lang w:val="en-US"/>
        </w:rPr>
      </w:pPr>
      <w:r w:rsidRPr="000951B8">
        <w:rPr>
          <w:rFonts w:eastAsia="Calibri"/>
          <w:color w:val="000000"/>
          <w:szCs w:val="24"/>
          <w:lang w:val="en-US"/>
        </w:rPr>
        <w:t xml:space="preserve">Dear colleagues, </w:t>
      </w:r>
    </w:p>
    <w:p w:rsidR="00FB59F5" w:rsidRPr="000951B8" w:rsidRDefault="00FB59F5" w:rsidP="00FB59F5">
      <w:pPr>
        <w:autoSpaceDE w:val="0"/>
        <w:autoSpaceDN w:val="0"/>
        <w:adjustRightInd w:val="0"/>
        <w:jc w:val="both"/>
        <w:rPr>
          <w:rFonts w:eastAsia="Calibri"/>
          <w:color w:val="000000"/>
          <w:szCs w:val="24"/>
          <w:lang w:val="en-US"/>
        </w:rPr>
      </w:pPr>
    </w:p>
    <w:p w:rsidR="00FB59F5" w:rsidRPr="000951B8" w:rsidRDefault="00FB59F5" w:rsidP="00FB59F5">
      <w:pPr>
        <w:autoSpaceDE w:val="0"/>
        <w:autoSpaceDN w:val="0"/>
        <w:adjustRightInd w:val="0"/>
        <w:jc w:val="both"/>
        <w:rPr>
          <w:rFonts w:eastAsia="Calibri"/>
          <w:color w:val="000000"/>
          <w:szCs w:val="24"/>
          <w:lang w:val="en-US"/>
        </w:rPr>
      </w:pPr>
      <w:r w:rsidRPr="000951B8">
        <w:rPr>
          <w:rFonts w:eastAsia="Calibri"/>
          <w:color w:val="000000"/>
          <w:szCs w:val="24"/>
          <w:lang w:val="en-US"/>
        </w:rPr>
        <w:t>Please accept our kind greetings from Institute Pasteur in Paris, France.</w:t>
      </w:r>
    </w:p>
    <w:p w:rsidR="00FB59F5" w:rsidRPr="000951B8" w:rsidRDefault="00FB59F5" w:rsidP="00FB59F5">
      <w:pPr>
        <w:autoSpaceDE w:val="0"/>
        <w:autoSpaceDN w:val="0"/>
        <w:adjustRightInd w:val="0"/>
        <w:jc w:val="both"/>
        <w:rPr>
          <w:rFonts w:eastAsia="Calibri"/>
          <w:color w:val="000000"/>
          <w:szCs w:val="24"/>
          <w:lang w:val="en-US"/>
        </w:rPr>
      </w:pPr>
    </w:p>
    <w:p w:rsidR="00FB59F5" w:rsidRPr="000951B8" w:rsidRDefault="00FB59F5" w:rsidP="00FB59F5">
      <w:pPr>
        <w:autoSpaceDE w:val="0"/>
        <w:autoSpaceDN w:val="0"/>
        <w:adjustRightInd w:val="0"/>
        <w:jc w:val="both"/>
        <w:rPr>
          <w:rFonts w:eastAsia="Calibri"/>
          <w:color w:val="000000"/>
          <w:szCs w:val="24"/>
          <w:lang w:val="en-US"/>
        </w:rPr>
      </w:pPr>
      <w:r w:rsidRPr="000951B8">
        <w:rPr>
          <w:rFonts w:eastAsia="Calibri"/>
          <w:color w:val="000000"/>
          <w:szCs w:val="24"/>
          <w:lang w:val="en-US"/>
        </w:rPr>
        <w:t xml:space="preserve">I am pleased to inform you that the </w:t>
      </w:r>
      <w:proofErr w:type="spellStart"/>
      <w:r w:rsidRPr="000951B8">
        <w:rPr>
          <w:rFonts w:eastAsia="Calibri"/>
          <w:color w:val="000000"/>
          <w:szCs w:val="24"/>
          <w:lang w:val="en-US"/>
        </w:rPr>
        <w:t>SoNAR</w:t>
      </w:r>
      <w:proofErr w:type="spellEnd"/>
      <w:r w:rsidRPr="000951B8">
        <w:rPr>
          <w:rFonts w:eastAsia="Calibri"/>
          <w:color w:val="000000"/>
          <w:szCs w:val="24"/>
          <w:lang w:val="en-US"/>
        </w:rPr>
        <w:t>-Global Eastern European regional hub, created within the framework of the</w:t>
      </w:r>
      <w:r w:rsidRPr="000951B8">
        <w:rPr>
          <w:rFonts w:eastAsia="Calibri"/>
          <w:b/>
          <w:bCs/>
          <w:color w:val="000000"/>
          <w:szCs w:val="24"/>
          <w:lang w:val="en-US"/>
        </w:rPr>
        <w:t xml:space="preserve"> </w:t>
      </w:r>
      <w:r w:rsidRPr="000951B8">
        <w:rPr>
          <w:rFonts w:eastAsia="Calibri"/>
          <w:color w:val="000000"/>
          <w:szCs w:val="24"/>
          <w:lang w:val="en-US"/>
        </w:rPr>
        <w:t>European Union’s “Horizon 2020” Research and Innovation Program “</w:t>
      </w:r>
      <w:proofErr w:type="spellStart"/>
      <w:r w:rsidRPr="000951B8">
        <w:rPr>
          <w:rFonts w:eastAsia="Calibri"/>
          <w:color w:val="000000"/>
          <w:szCs w:val="24"/>
          <w:lang w:val="en-US"/>
        </w:rPr>
        <w:t>SoNAR</w:t>
      </w:r>
      <w:proofErr w:type="spellEnd"/>
      <w:r w:rsidRPr="000951B8">
        <w:rPr>
          <w:rFonts w:eastAsia="Calibri"/>
          <w:color w:val="000000"/>
          <w:szCs w:val="24"/>
          <w:lang w:val="en-US"/>
        </w:rPr>
        <w:t xml:space="preserve">-Global” to address vaccine hesitancy in Eastern European countries, will organize an online meeting devoted to vaccination issues during the COVID-19 pandemic, as well as public health challenges related to lifting of quarantine. </w:t>
      </w:r>
    </w:p>
    <w:p w:rsidR="00FB59F5" w:rsidRPr="000951B8" w:rsidRDefault="00FB59F5" w:rsidP="00FB59F5">
      <w:pPr>
        <w:autoSpaceDE w:val="0"/>
        <w:autoSpaceDN w:val="0"/>
        <w:adjustRightInd w:val="0"/>
        <w:jc w:val="both"/>
        <w:rPr>
          <w:rFonts w:eastAsia="Calibri"/>
          <w:color w:val="000000"/>
          <w:szCs w:val="24"/>
          <w:lang w:val="en-US"/>
        </w:rPr>
      </w:pPr>
    </w:p>
    <w:p w:rsidR="00FB59F5" w:rsidRPr="000951B8" w:rsidRDefault="00FB59F5" w:rsidP="00FB59F5">
      <w:pPr>
        <w:shd w:val="clear" w:color="auto" w:fill="FFFFFF"/>
        <w:jc w:val="both"/>
        <w:rPr>
          <w:color w:val="222222"/>
          <w:szCs w:val="24"/>
          <w:lang w:val="en-US" w:eastAsia="uk-UA"/>
        </w:rPr>
      </w:pPr>
      <w:r w:rsidRPr="000951B8">
        <w:rPr>
          <w:color w:val="222222"/>
          <w:szCs w:val="24"/>
          <w:lang w:val="en-US" w:eastAsia="uk-UA"/>
        </w:rPr>
        <w:t xml:space="preserve">The online </w:t>
      </w:r>
      <w:proofErr w:type="spellStart"/>
      <w:r w:rsidRPr="000951B8">
        <w:rPr>
          <w:color w:val="222222"/>
          <w:szCs w:val="24"/>
          <w:lang w:val="en-US" w:eastAsia="uk-UA"/>
        </w:rPr>
        <w:t>SoNAR</w:t>
      </w:r>
      <w:proofErr w:type="spellEnd"/>
      <w:r w:rsidRPr="000951B8">
        <w:rPr>
          <w:color w:val="222222"/>
          <w:szCs w:val="24"/>
          <w:lang w:val="en-US" w:eastAsia="uk-UA"/>
        </w:rPr>
        <w:t>-Global Eastern European regional hub meeting will facilitate exchanges among countries concerning experiences of conducting routine and supplementary vaccination during the COVID-19 pandemic. We will identify common challenges and ways of overcoming them. In addition, we will address diverse scenarios for lifting quarantine and its consequences.</w:t>
      </w:r>
    </w:p>
    <w:p w:rsidR="00FB59F5" w:rsidRPr="000951B8" w:rsidRDefault="00FB59F5" w:rsidP="00FB59F5">
      <w:pPr>
        <w:shd w:val="clear" w:color="auto" w:fill="FFFFFF"/>
        <w:jc w:val="both"/>
        <w:rPr>
          <w:color w:val="222222"/>
          <w:szCs w:val="24"/>
          <w:lang w:val="en-US" w:eastAsia="uk-UA"/>
        </w:rPr>
      </w:pPr>
    </w:p>
    <w:p w:rsidR="00FB59F5" w:rsidRPr="000951B8" w:rsidRDefault="00FB59F5" w:rsidP="00FB59F5">
      <w:pPr>
        <w:shd w:val="clear" w:color="auto" w:fill="FFFFFF"/>
        <w:jc w:val="both"/>
        <w:rPr>
          <w:color w:val="222222"/>
          <w:szCs w:val="24"/>
          <w:lang w:val="en-US" w:eastAsia="uk-UA"/>
        </w:rPr>
      </w:pPr>
      <w:r w:rsidRPr="000951B8">
        <w:rPr>
          <w:color w:val="222222"/>
          <w:szCs w:val="24"/>
          <w:lang w:val="en-US" w:eastAsia="uk-UA"/>
        </w:rPr>
        <w:t>Please find enclosed the preliminary agenda with proposed dates of the meeting.</w:t>
      </w:r>
    </w:p>
    <w:p w:rsidR="00FB59F5" w:rsidRPr="000951B8" w:rsidRDefault="00FB59F5" w:rsidP="00FB59F5">
      <w:pPr>
        <w:shd w:val="clear" w:color="auto" w:fill="FFFFFF"/>
        <w:jc w:val="both"/>
        <w:rPr>
          <w:color w:val="222222"/>
          <w:szCs w:val="24"/>
          <w:lang w:val="en-US" w:eastAsia="uk-UA"/>
        </w:rPr>
      </w:pPr>
    </w:p>
    <w:p w:rsidR="00FB59F5" w:rsidRPr="000951B8" w:rsidRDefault="00FB59F5" w:rsidP="00FB59F5">
      <w:pPr>
        <w:shd w:val="clear" w:color="auto" w:fill="FFFFFF"/>
        <w:jc w:val="both"/>
        <w:rPr>
          <w:color w:val="222222"/>
          <w:szCs w:val="24"/>
          <w:lang w:val="en-US" w:eastAsia="uk-UA"/>
        </w:rPr>
      </w:pPr>
      <w:r w:rsidRPr="000951B8">
        <w:rPr>
          <w:color w:val="222222"/>
          <w:szCs w:val="24"/>
          <w:lang w:val="en-US" w:eastAsia="uk-UA"/>
        </w:rPr>
        <w:t>We kindly invite you and your colleagues to participate in this event as key experts in vaccination in your countries. Your active involvement will contribute to the increased visibility of our regional preoccupations and priorities and can potentially lead to opportunities for further international funding of a joint, regional initiative.</w:t>
      </w:r>
    </w:p>
    <w:p w:rsidR="00FB59F5" w:rsidRPr="000951B8" w:rsidRDefault="00FB59F5" w:rsidP="00FB59F5">
      <w:pPr>
        <w:shd w:val="clear" w:color="auto" w:fill="FFFFFF"/>
        <w:jc w:val="both"/>
        <w:rPr>
          <w:color w:val="222222"/>
          <w:szCs w:val="24"/>
          <w:lang w:val="en-US" w:eastAsia="uk-UA"/>
        </w:rPr>
      </w:pPr>
    </w:p>
    <w:p w:rsidR="00FB59F5" w:rsidRPr="000951B8" w:rsidRDefault="00FB59F5" w:rsidP="00FB59F5">
      <w:pPr>
        <w:shd w:val="clear" w:color="auto" w:fill="FFFFFF"/>
        <w:jc w:val="both"/>
        <w:rPr>
          <w:color w:val="222222"/>
          <w:szCs w:val="24"/>
          <w:lang w:val="en-US" w:eastAsia="uk-UA"/>
        </w:rPr>
      </w:pPr>
      <w:r w:rsidRPr="000951B8">
        <w:rPr>
          <w:color w:val="222222"/>
          <w:szCs w:val="24"/>
          <w:lang w:val="en-US" w:eastAsia="uk-UA"/>
        </w:rPr>
        <w:t xml:space="preserve">For additional information and to confirm your participation in the meeting, please contact Roman </w:t>
      </w:r>
      <w:proofErr w:type="spellStart"/>
      <w:r w:rsidRPr="000951B8">
        <w:rPr>
          <w:color w:val="222222"/>
          <w:szCs w:val="24"/>
          <w:lang w:val="en-US" w:eastAsia="uk-UA"/>
        </w:rPr>
        <w:t>Rodyna</w:t>
      </w:r>
      <w:proofErr w:type="spellEnd"/>
      <w:r w:rsidRPr="000951B8">
        <w:rPr>
          <w:color w:val="222222"/>
          <w:szCs w:val="24"/>
          <w:lang w:val="en-US" w:eastAsia="uk-UA"/>
        </w:rPr>
        <w:t>, Head of Communicable Diseases Surveillance Department of Public Health Center of the Ministry of Health of Ukraine (r.rodyna@phc.org.ua, +38 098 249 50 37).</w:t>
      </w:r>
    </w:p>
    <w:p w:rsidR="00FB59F5" w:rsidRPr="000951B8" w:rsidRDefault="00FB59F5" w:rsidP="00FB59F5">
      <w:pPr>
        <w:shd w:val="clear" w:color="auto" w:fill="FFFFFF"/>
        <w:jc w:val="both"/>
        <w:rPr>
          <w:color w:val="222222"/>
          <w:szCs w:val="24"/>
          <w:lang w:val="en-US" w:eastAsia="uk-UA"/>
        </w:rPr>
      </w:pPr>
    </w:p>
    <w:p w:rsidR="00FB59F5" w:rsidRPr="000951B8" w:rsidRDefault="00FB59F5" w:rsidP="00FB59F5">
      <w:pPr>
        <w:shd w:val="clear" w:color="auto" w:fill="FFFFFF"/>
        <w:jc w:val="both"/>
        <w:rPr>
          <w:color w:val="222222"/>
          <w:szCs w:val="24"/>
          <w:lang w:val="en-US" w:eastAsia="uk-UA"/>
        </w:rPr>
      </w:pPr>
      <w:r w:rsidRPr="000951B8">
        <w:rPr>
          <w:color w:val="222222"/>
          <w:szCs w:val="24"/>
          <w:lang w:val="en-US" w:eastAsia="uk-UA"/>
        </w:rPr>
        <w:t>More information on the EU H2020 “</w:t>
      </w:r>
      <w:proofErr w:type="spellStart"/>
      <w:r w:rsidRPr="000951B8">
        <w:rPr>
          <w:color w:val="222222"/>
          <w:szCs w:val="24"/>
          <w:lang w:val="en-US" w:eastAsia="uk-UA"/>
        </w:rPr>
        <w:t>SoNAR</w:t>
      </w:r>
      <w:proofErr w:type="spellEnd"/>
      <w:r w:rsidRPr="000951B8">
        <w:rPr>
          <w:color w:val="222222"/>
          <w:szCs w:val="24"/>
          <w:lang w:val="en-US" w:eastAsia="uk-UA"/>
        </w:rPr>
        <w:t>-Global” project can be found on its official website www.sonarglobal.eu.</w:t>
      </w:r>
    </w:p>
    <w:p w:rsidR="00FB59F5" w:rsidRPr="000951B8" w:rsidRDefault="00FB59F5" w:rsidP="00FB59F5">
      <w:pPr>
        <w:shd w:val="clear" w:color="auto" w:fill="FFFFFF"/>
        <w:jc w:val="both"/>
        <w:rPr>
          <w:color w:val="222222"/>
          <w:szCs w:val="24"/>
          <w:lang w:val="en-US" w:eastAsia="uk-UA"/>
        </w:rPr>
      </w:pPr>
    </w:p>
    <w:p w:rsidR="00FB59F5" w:rsidRPr="000951B8" w:rsidRDefault="00FB59F5" w:rsidP="00FB59F5">
      <w:pPr>
        <w:shd w:val="clear" w:color="auto" w:fill="FFFFFF"/>
        <w:jc w:val="both"/>
        <w:rPr>
          <w:color w:val="222222"/>
          <w:szCs w:val="24"/>
          <w:lang w:val="en-US" w:eastAsia="uk-UA"/>
        </w:rPr>
      </w:pPr>
      <w:r w:rsidRPr="000951B8">
        <w:rPr>
          <w:color w:val="222222"/>
          <w:szCs w:val="24"/>
          <w:lang w:val="en-US" w:eastAsia="uk-UA"/>
        </w:rPr>
        <w:t xml:space="preserve">Please accept our warmest wishes from the </w:t>
      </w:r>
      <w:proofErr w:type="spellStart"/>
      <w:r w:rsidRPr="000951B8">
        <w:rPr>
          <w:color w:val="222222"/>
          <w:szCs w:val="24"/>
          <w:lang w:val="en-US" w:eastAsia="uk-UA"/>
        </w:rPr>
        <w:t>Institut</w:t>
      </w:r>
      <w:proofErr w:type="spellEnd"/>
      <w:r w:rsidRPr="000951B8">
        <w:rPr>
          <w:color w:val="222222"/>
          <w:szCs w:val="24"/>
          <w:lang w:val="en-US" w:eastAsia="uk-UA"/>
        </w:rPr>
        <w:t xml:space="preserve"> Pasteur of Paris, France.</w:t>
      </w:r>
    </w:p>
    <w:p w:rsidR="00FB59F5" w:rsidRPr="000951B8" w:rsidRDefault="00FB59F5" w:rsidP="00FB59F5">
      <w:pPr>
        <w:shd w:val="clear" w:color="auto" w:fill="FFFFFF"/>
        <w:jc w:val="both"/>
        <w:rPr>
          <w:color w:val="222222"/>
          <w:szCs w:val="24"/>
          <w:lang w:val="en-US" w:eastAsia="uk-UA"/>
        </w:rPr>
      </w:pPr>
    </w:p>
    <w:p w:rsidR="00FB59F5" w:rsidRDefault="00FB59F5" w:rsidP="00FB59F5">
      <w:pPr>
        <w:shd w:val="clear" w:color="auto" w:fill="FFFFFF"/>
        <w:jc w:val="both"/>
        <w:rPr>
          <w:color w:val="222222"/>
          <w:lang w:val="en-US" w:eastAsia="uk-UA"/>
        </w:rPr>
      </w:pPr>
      <w:r w:rsidRPr="000951B8">
        <w:rPr>
          <w:color w:val="222222"/>
          <w:szCs w:val="24"/>
          <w:lang w:val="en-US" w:eastAsia="uk-UA"/>
        </w:rPr>
        <w:t>Sincerely,</w:t>
      </w:r>
    </w:p>
    <w:p w:rsidR="00FB59F5" w:rsidRDefault="00FB59F5" w:rsidP="00FB59F5">
      <w:pPr>
        <w:shd w:val="clear" w:color="auto" w:fill="FFFFFF"/>
        <w:jc w:val="both"/>
        <w:rPr>
          <w:color w:val="222222"/>
          <w:lang w:val="en-US" w:eastAsia="uk-UA"/>
        </w:rPr>
      </w:pPr>
    </w:p>
    <w:p w:rsidR="00FB59F5" w:rsidRPr="000951B8" w:rsidRDefault="00FB59F5" w:rsidP="00FB59F5">
      <w:pPr>
        <w:shd w:val="clear" w:color="auto" w:fill="FFFFFF"/>
        <w:jc w:val="both"/>
        <w:rPr>
          <w:color w:val="222222"/>
          <w:szCs w:val="24"/>
          <w:lang w:val="en-US" w:eastAsia="uk-UA"/>
        </w:rPr>
      </w:pPr>
      <w:r>
        <w:rPr>
          <w:noProof/>
          <w:color w:val="222222"/>
          <w:lang w:val="en-US" w:eastAsia="uk-UA"/>
        </w:rPr>
        <w:drawing>
          <wp:inline distT="0" distB="0" distL="0" distR="0">
            <wp:extent cx="1973580" cy="548640"/>
            <wp:effectExtent l="0" t="0" r="0" b="3810"/>
            <wp:docPr id="1" name="Picture 1" descr="C:\Users\gilesvernick\Dropbox\Documents\Personal files\Signatures\tgv_si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ilesvernick\Dropbox\Documents\Personal files\Signatures\tgv_sig1.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3580" cy="548640"/>
                    </a:xfrm>
                    <a:prstGeom prst="rect">
                      <a:avLst/>
                    </a:prstGeom>
                    <a:noFill/>
                    <a:ln>
                      <a:noFill/>
                    </a:ln>
                  </pic:spPr>
                </pic:pic>
              </a:graphicData>
            </a:graphic>
          </wp:inline>
        </w:drawing>
      </w:r>
    </w:p>
    <w:p w:rsidR="00FB59F5" w:rsidRDefault="00FB59F5" w:rsidP="00FB59F5">
      <w:pPr>
        <w:shd w:val="clear" w:color="auto" w:fill="FFFFFF"/>
        <w:jc w:val="both"/>
        <w:rPr>
          <w:color w:val="222222"/>
          <w:lang w:val="en-US" w:eastAsia="uk-UA"/>
        </w:rPr>
      </w:pPr>
      <w:r w:rsidRPr="000951B8">
        <w:rPr>
          <w:color w:val="222222"/>
          <w:szCs w:val="24"/>
          <w:lang w:val="en-US" w:eastAsia="uk-UA"/>
        </w:rPr>
        <w:t>Tamara Giles-Vernick</w:t>
      </w:r>
    </w:p>
    <w:p w:rsidR="00FB59F5" w:rsidRDefault="00FB59F5" w:rsidP="00FB59F5">
      <w:pPr>
        <w:shd w:val="clear" w:color="auto" w:fill="FFFFFF"/>
        <w:jc w:val="both"/>
        <w:rPr>
          <w:color w:val="222222"/>
          <w:szCs w:val="24"/>
          <w:lang w:val="en-US" w:eastAsia="uk-UA"/>
        </w:rPr>
      </w:pPr>
      <w:r w:rsidRPr="000951B8">
        <w:rPr>
          <w:color w:val="222222"/>
          <w:szCs w:val="24"/>
          <w:lang w:val="en-US" w:eastAsia="uk-UA"/>
        </w:rPr>
        <w:t>Coordinator</w:t>
      </w:r>
      <w:r>
        <w:rPr>
          <w:color w:val="222222"/>
          <w:lang w:val="en-US" w:eastAsia="uk-UA"/>
        </w:rPr>
        <w:t>,</w:t>
      </w:r>
      <w:r w:rsidRPr="000951B8">
        <w:rPr>
          <w:color w:val="222222"/>
          <w:szCs w:val="24"/>
          <w:lang w:val="en-US" w:eastAsia="uk-UA"/>
        </w:rPr>
        <w:t xml:space="preserve"> “</w:t>
      </w:r>
      <w:proofErr w:type="spellStart"/>
      <w:r w:rsidRPr="000951B8">
        <w:rPr>
          <w:color w:val="222222"/>
          <w:szCs w:val="24"/>
          <w:lang w:val="en-US" w:eastAsia="uk-UA"/>
        </w:rPr>
        <w:t>SoNAR</w:t>
      </w:r>
      <w:proofErr w:type="spellEnd"/>
      <w:r w:rsidRPr="000951B8">
        <w:rPr>
          <w:color w:val="222222"/>
          <w:szCs w:val="24"/>
          <w:lang w:val="en-US" w:eastAsia="uk-UA"/>
        </w:rPr>
        <w:t>-Global”</w:t>
      </w:r>
    </w:p>
    <w:p w:rsidR="00FB59F5" w:rsidRPr="00FB59F5" w:rsidRDefault="00FB59F5" w:rsidP="00FB59F5">
      <w:pPr>
        <w:shd w:val="clear" w:color="auto" w:fill="FFFFFF"/>
        <w:jc w:val="both"/>
        <w:rPr>
          <w:color w:val="222222"/>
          <w:szCs w:val="24"/>
          <w:lang w:val="en-US" w:eastAsia="uk-UA"/>
        </w:rPr>
      </w:pPr>
      <w:r>
        <w:rPr>
          <w:color w:val="222222"/>
          <w:szCs w:val="24"/>
          <w:lang w:val="en-US" w:eastAsia="uk-UA"/>
        </w:rPr>
        <w:t>Unit Head, Anthropology &amp; Ecology of Disease Emergence</w:t>
      </w:r>
    </w:p>
    <w:p w:rsidR="00FB59F5" w:rsidRDefault="00FB59F5" w:rsidP="00FB59F5">
      <w:pPr>
        <w:autoSpaceDE w:val="0"/>
        <w:autoSpaceDN w:val="0"/>
        <w:adjustRightInd w:val="0"/>
        <w:rPr>
          <w:rFonts w:eastAsia="Calibri"/>
          <w:color w:val="000000"/>
          <w:sz w:val="22"/>
          <w:szCs w:val="22"/>
          <w:lang w:val="en-US"/>
        </w:rPr>
      </w:pPr>
    </w:p>
    <w:p w:rsidR="00FB59F5" w:rsidRDefault="00FB59F5" w:rsidP="00FB59F5">
      <w:pPr>
        <w:autoSpaceDE w:val="0"/>
        <w:autoSpaceDN w:val="0"/>
        <w:adjustRightInd w:val="0"/>
        <w:rPr>
          <w:rFonts w:eastAsia="Calibri"/>
          <w:color w:val="000000"/>
          <w:sz w:val="22"/>
          <w:szCs w:val="22"/>
          <w:lang w:val="en-US"/>
        </w:rPr>
      </w:pPr>
    </w:p>
    <w:p w:rsidR="00FB59F5" w:rsidRDefault="00FB59F5" w:rsidP="00FB59F5">
      <w:pPr>
        <w:autoSpaceDE w:val="0"/>
        <w:autoSpaceDN w:val="0"/>
        <w:adjustRightInd w:val="0"/>
        <w:rPr>
          <w:rFonts w:eastAsia="Calibri"/>
          <w:color w:val="000000"/>
          <w:sz w:val="22"/>
          <w:szCs w:val="22"/>
          <w:lang w:val="en-US"/>
        </w:rPr>
      </w:pPr>
    </w:p>
    <w:p w:rsidR="00FB59F5" w:rsidRDefault="00FB59F5" w:rsidP="00FB59F5">
      <w:pPr>
        <w:shd w:val="clear" w:color="auto" w:fill="FFFFFF"/>
        <w:jc w:val="center"/>
        <w:rPr>
          <w:b/>
          <w:bCs/>
          <w:color w:val="7030A0"/>
          <w:sz w:val="28"/>
          <w:szCs w:val="28"/>
          <w:lang w:val="en-US" w:eastAsia="uk-UA"/>
        </w:rPr>
      </w:pPr>
    </w:p>
    <w:p w:rsidR="00FB59F5" w:rsidRDefault="00FB59F5" w:rsidP="00FB59F5">
      <w:pPr>
        <w:shd w:val="clear" w:color="auto" w:fill="FFFFFF"/>
        <w:jc w:val="center"/>
        <w:rPr>
          <w:b/>
          <w:bCs/>
          <w:color w:val="7030A0"/>
          <w:sz w:val="28"/>
          <w:szCs w:val="28"/>
          <w:lang w:val="en-US" w:eastAsia="uk-UA"/>
        </w:rPr>
      </w:pPr>
    </w:p>
    <w:p w:rsidR="00FB59F5" w:rsidRDefault="00FB59F5" w:rsidP="00FB59F5">
      <w:pPr>
        <w:shd w:val="clear" w:color="auto" w:fill="FFFFFF"/>
        <w:jc w:val="center"/>
        <w:rPr>
          <w:b/>
          <w:bCs/>
          <w:color w:val="7030A0"/>
          <w:sz w:val="28"/>
          <w:szCs w:val="28"/>
          <w:lang w:val="en-US" w:eastAsia="uk-UA"/>
        </w:rPr>
      </w:pPr>
    </w:p>
    <w:p w:rsidR="00FB59F5" w:rsidRDefault="00FB59F5" w:rsidP="00FB59F5">
      <w:pPr>
        <w:shd w:val="clear" w:color="auto" w:fill="FFFFFF"/>
        <w:jc w:val="center"/>
        <w:rPr>
          <w:b/>
          <w:bCs/>
          <w:color w:val="7030A0"/>
          <w:sz w:val="28"/>
          <w:szCs w:val="28"/>
          <w:lang w:val="en-US" w:eastAsia="uk-UA"/>
        </w:rPr>
      </w:pPr>
    </w:p>
    <w:p w:rsidR="00FB59F5" w:rsidRDefault="00FB59F5">
      <w:pPr>
        <w:rPr>
          <w:b/>
          <w:bCs/>
          <w:color w:val="7030A0"/>
          <w:sz w:val="28"/>
          <w:szCs w:val="28"/>
          <w:lang w:val="en-US" w:eastAsia="uk-UA"/>
        </w:rPr>
      </w:pPr>
      <w:r>
        <w:rPr>
          <w:b/>
          <w:bCs/>
          <w:color w:val="7030A0"/>
          <w:sz w:val="28"/>
          <w:szCs w:val="28"/>
          <w:lang w:val="en-US" w:eastAsia="uk-UA"/>
        </w:rPr>
        <w:br w:type="page"/>
      </w:r>
    </w:p>
    <w:p w:rsidR="00FB59F5" w:rsidRPr="00FB59F5" w:rsidRDefault="00FB59F5" w:rsidP="00FB59F5">
      <w:pPr>
        <w:shd w:val="clear" w:color="auto" w:fill="FFFFFF"/>
        <w:jc w:val="center"/>
        <w:rPr>
          <w:b/>
          <w:bCs/>
          <w:color w:val="7030A0"/>
          <w:sz w:val="28"/>
          <w:szCs w:val="28"/>
          <w:lang w:val="en-US" w:eastAsia="uk-UA"/>
        </w:rPr>
      </w:pPr>
      <w:r w:rsidRPr="008D41EE">
        <w:rPr>
          <w:b/>
          <w:bCs/>
          <w:color w:val="7030A0"/>
          <w:sz w:val="28"/>
          <w:szCs w:val="28"/>
          <w:lang w:val="en-US" w:eastAsia="uk-UA"/>
        </w:rPr>
        <w:lastRenderedPageBreak/>
        <w:t>PROVISIONAL AGENDA</w:t>
      </w:r>
      <w:r w:rsidRPr="00EB0AE1">
        <w:rPr>
          <w:b/>
          <w:bCs/>
          <w:color w:val="7030A0"/>
          <w:sz w:val="28"/>
          <w:szCs w:val="28"/>
          <w:lang w:val="en-US" w:eastAsia="uk-UA"/>
        </w:rPr>
        <w:t xml:space="preserve"> </w:t>
      </w:r>
    </w:p>
    <w:p w:rsidR="00FB59F5" w:rsidRDefault="00FB59F5" w:rsidP="00FB59F5">
      <w:pPr>
        <w:shd w:val="clear" w:color="auto" w:fill="FFFFFF"/>
        <w:jc w:val="center"/>
        <w:rPr>
          <w:b/>
          <w:bCs/>
          <w:color w:val="7030A0"/>
          <w:sz w:val="28"/>
          <w:szCs w:val="28"/>
          <w:lang w:val="en-US" w:eastAsia="uk-UA"/>
        </w:rPr>
      </w:pPr>
      <w:r>
        <w:rPr>
          <w:b/>
          <w:bCs/>
          <w:color w:val="7030A0"/>
          <w:sz w:val="28"/>
          <w:szCs w:val="28"/>
          <w:lang w:val="ru-RU" w:eastAsia="uk-UA"/>
        </w:rPr>
        <w:t>Т</w:t>
      </w:r>
      <w:r w:rsidRPr="008D41EE">
        <w:rPr>
          <w:b/>
          <w:bCs/>
          <w:color w:val="7030A0"/>
          <w:sz w:val="28"/>
          <w:szCs w:val="28"/>
          <w:lang w:val="en-US" w:eastAsia="uk-UA"/>
        </w:rPr>
        <w:t xml:space="preserve">he </w:t>
      </w:r>
      <w:r>
        <w:rPr>
          <w:b/>
          <w:bCs/>
          <w:color w:val="7030A0"/>
          <w:sz w:val="28"/>
          <w:szCs w:val="28"/>
          <w:lang w:val="en-US" w:eastAsia="uk-UA"/>
        </w:rPr>
        <w:t>online</w:t>
      </w:r>
      <w:r w:rsidRPr="008D41EE">
        <w:rPr>
          <w:b/>
          <w:bCs/>
          <w:color w:val="7030A0"/>
          <w:sz w:val="28"/>
          <w:szCs w:val="28"/>
          <w:lang w:val="en-US" w:eastAsia="uk-UA"/>
        </w:rPr>
        <w:t xml:space="preserve"> meeting of </w:t>
      </w:r>
      <w:proofErr w:type="spellStart"/>
      <w:r w:rsidRPr="008D41EE">
        <w:rPr>
          <w:b/>
          <w:bCs/>
          <w:color w:val="7030A0"/>
          <w:sz w:val="28"/>
          <w:szCs w:val="28"/>
          <w:lang w:val="en-US" w:eastAsia="uk-UA"/>
        </w:rPr>
        <w:t>SoNAR</w:t>
      </w:r>
      <w:proofErr w:type="spellEnd"/>
      <w:r w:rsidRPr="008D41EE">
        <w:rPr>
          <w:b/>
          <w:bCs/>
          <w:color w:val="7030A0"/>
          <w:sz w:val="28"/>
          <w:szCs w:val="28"/>
          <w:lang w:val="en-US" w:eastAsia="uk-UA"/>
        </w:rPr>
        <w:t xml:space="preserve"> Global Eastern Europe regional hub </w:t>
      </w:r>
    </w:p>
    <w:p w:rsidR="00FB59F5" w:rsidRPr="004261A7" w:rsidRDefault="00FB59F5" w:rsidP="00FB59F5">
      <w:pPr>
        <w:shd w:val="clear" w:color="auto" w:fill="FFFFFF"/>
        <w:jc w:val="center"/>
        <w:rPr>
          <w:b/>
          <w:bCs/>
          <w:color w:val="7030A0"/>
          <w:sz w:val="28"/>
          <w:szCs w:val="28"/>
          <w:lang w:val="en-US" w:eastAsia="uk-UA"/>
        </w:rPr>
      </w:pPr>
      <w:r>
        <w:rPr>
          <w:b/>
          <w:bCs/>
          <w:color w:val="7030A0"/>
          <w:sz w:val="28"/>
          <w:szCs w:val="28"/>
          <w:lang w:val="en-US" w:eastAsia="uk-UA"/>
        </w:rPr>
        <w:t>September, 15, 2020</w:t>
      </w:r>
    </w:p>
    <w:p w:rsidR="00FB59F5" w:rsidRDefault="00FB59F5" w:rsidP="00FB59F5">
      <w:pPr>
        <w:shd w:val="clear" w:color="auto" w:fill="FFFFFF"/>
        <w:jc w:val="center"/>
        <w:rPr>
          <w:b/>
          <w:bCs/>
          <w:color w:val="222222"/>
          <w:sz w:val="28"/>
          <w:szCs w:val="28"/>
          <w:lang w:val="en-US" w:eastAsia="uk-UA"/>
        </w:rPr>
      </w:pPr>
    </w:p>
    <w:p w:rsidR="00FB59F5" w:rsidRDefault="00FB59F5" w:rsidP="00FB59F5">
      <w:pPr>
        <w:shd w:val="clear" w:color="auto" w:fill="FFFFFF"/>
        <w:jc w:val="center"/>
        <w:rPr>
          <w:b/>
          <w:bCs/>
          <w:color w:val="222222"/>
          <w:sz w:val="28"/>
          <w:szCs w:val="28"/>
          <w:lang w:val="en-US" w:eastAsia="uk-UA"/>
        </w:rPr>
      </w:pPr>
      <w:r>
        <w:rPr>
          <w:b/>
          <w:bCs/>
          <w:color w:val="222222"/>
          <w:sz w:val="28"/>
          <w:szCs w:val="28"/>
          <w:lang w:val="en-US" w:eastAsia="uk-UA"/>
        </w:rPr>
        <w:t xml:space="preserve">“Vaccination in COVID-19 pandemic. </w:t>
      </w:r>
    </w:p>
    <w:p w:rsidR="00FB59F5" w:rsidRDefault="00FB59F5" w:rsidP="00FB59F5">
      <w:pPr>
        <w:shd w:val="clear" w:color="auto" w:fill="FFFFFF"/>
        <w:jc w:val="center"/>
        <w:rPr>
          <w:b/>
          <w:bCs/>
          <w:color w:val="222222"/>
          <w:sz w:val="28"/>
          <w:szCs w:val="28"/>
          <w:lang w:val="en-US" w:eastAsia="uk-UA"/>
        </w:rPr>
      </w:pPr>
      <w:r>
        <w:rPr>
          <w:b/>
          <w:bCs/>
          <w:color w:val="222222"/>
          <w:sz w:val="28"/>
          <w:szCs w:val="28"/>
          <w:lang w:val="en-US" w:eastAsia="uk-UA"/>
        </w:rPr>
        <w:t>Ways for quarantine lifting – situation in countries”</w:t>
      </w:r>
    </w:p>
    <w:p w:rsidR="00FB59F5" w:rsidRDefault="00FB59F5" w:rsidP="00FB59F5">
      <w:pPr>
        <w:shd w:val="clear" w:color="auto" w:fill="FFFFFF"/>
        <w:rPr>
          <w:b/>
          <w:bCs/>
          <w:color w:val="222222"/>
          <w:sz w:val="28"/>
          <w:szCs w:val="28"/>
          <w:lang w:val="en-US" w:eastAsia="uk-UA"/>
        </w:rPr>
      </w:pPr>
    </w:p>
    <w:p w:rsidR="00FB59F5" w:rsidRPr="009100FD" w:rsidRDefault="00FB59F5" w:rsidP="00FB59F5">
      <w:pPr>
        <w:shd w:val="clear" w:color="auto" w:fill="FFFFFF"/>
        <w:ind w:firstLine="709"/>
        <w:jc w:val="both"/>
        <w:rPr>
          <w:b/>
          <w:color w:val="222222"/>
          <w:sz w:val="28"/>
          <w:szCs w:val="28"/>
          <w:lang w:val="en-US" w:eastAsia="uk-UA"/>
        </w:rPr>
      </w:pPr>
      <w:r>
        <w:rPr>
          <w:b/>
          <w:color w:val="222222"/>
          <w:sz w:val="28"/>
          <w:szCs w:val="28"/>
          <w:lang w:val="en-US" w:eastAsia="uk-UA"/>
        </w:rPr>
        <w:t>Background</w:t>
      </w:r>
    </w:p>
    <w:p w:rsidR="00FB59F5" w:rsidRDefault="00FB59F5" w:rsidP="00FB59F5">
      <w:pPr>
        <w:shd w:val="clear" w:color="auto" w:fill="FFFFFF"/>
        <w:ind w:firstLine="709"/>
        <w:jc w:val="both"/>
        <w:rPr>
          <w:color w:val="222222"/>
          <w:sz w:val="28"/>
          <w:szCs w:val="28"/>
          <w:lang w:val="en-US" w:eastAsia="uk-UA"/>
        </w:rPr>
      </w:pPr>
      <w:r>
        <w:rPr>
          <w:color w:val="222222"/>
          <w:sz w:val="28"/>
          <w:szCs w:val="28"/>
          <w:lang w:val="en-US" w:eastAsia="uk-UA"/>
        </w:rPr>
        <w:t xml:space="preserve">In terms of working package 2 of </w:t>
      </w:r>
      <w:proofErr w:type="spellStart"/>
      <w:r w:rsidRPr="00DE55A6">
        <w:rPr>
          <w:color w:val="222222"/>
          <w:sz w:val="28"/>
          <w:szCs w:val="28"/>
          <w:lang w:val="en-US" w:eastAsia="uk-UA"/>
        </w:rPr>
        <w:t>So</w:t>
      </w:r>
      <w:r>
        <w:rPr>
          <w:color w:val="222222"/>
          <w:sz w:val="28"/>
          <w:szCs w:val="28"/>
          <w:lang w:val="en-US" w:eastAsia="uk-UA"/>
        </w:rPr>
        <w:t>NAR</w:t>
      </w:r>
      <w:proofErr w:type="spellEnd"/>
      <w:r w:rsidRPr="00DE55A6">
        <w:rPr>
          <w:color w:val="222222"/>
          <w:sz w:val="28"/>
          <w:szCs w:val="28"/>
          <w:lang w:val="en-US" w:eastAsia="uk-UA"/>
        </w:rPr>
        <w:t>-Global</w:t>
      </w:r>
      <w:r>
        <w:rPr>
          <w:color w:val="222222"/>
          <w:sz w:val="28"/>
          <w:szCs w:val="28"/>
          <w:lang w:val="en-US" w:eastAsia="uk-UA"/>
        </w:rPr>
        <w:t xml:space="preserve"> </w:t>
      </w:r>
      <w:r w:rsidRPr="009100FD">
        <w:rPr>
          <w:color w:val="222222"/>
          <w:sz w:val="28"/>
          <w:szCs w:val="28"/>
          <w:lang w:val="en-US" w:eastAsia="uk-UA"/>
        </w:rPr>
        <w:t xml:space="preserve">Eastern Europe regional hub </w:t>
      </w:r>
      <w:r>
        <w:rPr>
          <w:color w:val="222222"/>
          <w:sz w:val="28"/>
          <w:szCs w:val="28"/>
          <w:lang w:val="en-US" w:eastAsia="uk-UA"/>
        </w:rPr>
        <w:t xml:space="preserve">has been created in order to address regional challenges in field of vaccination, vaccine hesitancy as top priority taking to account existing situation with vaccine preventable diseases in the region. But the epidemic situation at the very beginning of 2020 brings the changes into the working prospective of the regional hub.  </w:t>
      </w:r>
    </w:p>
    <w:p w:rsidR="00FB59F5" w:rsidRDefault="00FB59F5" w:rsidP="00FB59F5">
      <w:pPr>
        <w:shd w:val="clear" w:color="auto" w:fill="FFFFFF"/>
        <w:ind w:firstLine="709"/>
        <w:jc w:val="both"/>
        <w:rPr>
          <w:color w:val="222222"/>
          <w:sz w:val="28"/>
          <w:szCs w:val="28"/>
          <w:lang w:val="en-US" w:eastAsia="uk-UA"/>
        </w:rPr>
      </w:pPr>
      <w:r>
        <w:rPr>
          <w:color w:val="222222"/>
          <w:sz w:val="28"/>
          <w:szCs w:val="28"/>
          <w:lang w:val="en-US" w:eastAsia="uk-UA"/>
        </w:rPr>
        <w:t>COVID-19 pandemic was announced WHO on the March, 11, 2020. Many countries launched lockdowns in order to prevent the spreading of COVID-19. Many restrictions were implemented including moving of people outside their homes, closing different type of facilities etc. In these conditions the routine vaccination</w:t>
      </w:r>
      <w:r w:rsidRPr="00FB59F5">
        <w:rPr>
          <w:color w:val="222222"/>
          <w:sz w:val="28"/>
          <w:szCs w:val="28"/>
          <w:lang w:val="en-US" w:eastAsia="uk-UA"/>
        </w:rPr>
        <w:t>’</w:t>
      </w:r>
      <w:r>
        <w:rPr>
          <w:color w:val="222222"/>
          <w:sz w:val="28"/>
          <w:szCs w:val="28"/>
          <w:lang w:val="en-US" w:eastAsia="uk-UA"/>
        </w:rPr>
        <w:t xml:space="preserve"> sustainability issue becomes very important. In the same time, vulnerable groups of population are asked to stay at home that means they have restricted opportunities to go to vaccination points. In order to unify the approaches to vaccination during COVID-19 pandemic WHO issued the recommendations on immunization of COVID-19-vulnerable groups and guidance “</w:t>
      </w:r>
      <w:r w:rsidRPr="006F346C">
        <w:rPr>
          <w:color w:val="222222"/>
          <w:sz w:val="28"/>
          <w:szCs w:val="28"/>
          <w:lang w:val="en-US" w:eastAsia="uk-UA"/>
        </w:rPr>
        <w:t>Managing risks from disruptions of immunization services during the COVID-19 pandemic: Catch-up vaccination</w:t>
      </w:r>
      <w:r>
        <w:rPr>
          <w:color w:val="222222"/>
          <w:sz w:val="28"/>
          <w:szCs w:val="28"/>
          <w:lang w:val="en-US" w:eastAsia="uk-UA"/>
        </w:rPr>
        <w:t>”.</w:t>
      </w:r>
    </w:p>
    <w:p w:rsidR="00FB59F5" w:rsidRPr="00B821BD" w:rsidRDefault="00FB59F5" w:rsidP="00FB59F5">
      <w:pPr>
        <w:shd w:val="clear" w:color="auto" w:fill="FFFFFF"/>
        <w:ind w:firstLine="709"/>
        <w:jc w:val="both"/>
        <w:rPr>
          <w:color w:val="222222"/>
          <w:sz w:val="28"/>
          <w:szCs w:val="28"/>
          <w:lang w:val="en-US" w:eastAsia="uk-UA"/>
        </w:rPr>
      </w:pPr>
      <w:r>
        <w:rPr>
          <w:color w:val="222222"/>
          <w:sz w:val="28"/>
          <w:szCs w:val="28"/>
          <w:lang w:val="en-US" w:eastAsia="uk-UA"/>
        </w:rPr>
        <w:t>Starting from the second half of May, 2020 the majority of countries</w:t>
      </w:r>
      <w:r w:rsidRPr="006F346C">
        <w:rPr>
          <w:color w:val="222222"/>
          <w:sz w:val="28"/>
          <w:szCs w:val="28"/>
          <w:lang w:val="en-US" w:eastAsia="uk-UA"/>
        </w:rPr>
        <w:t xml:space="preserve"> </w:t>
      </w:r>
      <w:r>
        <w:rPr>
          <w:color w:val="222222"/>
          <w:sz w:val="28"/>
          <w:szCs w:val="28"/>
          <w:lang w:val="en-US" w:eastAsia="uk-UA"/>
        </w:rPr>
        <w:t xml:space="preserve">has started the lifting of quarantine measures based on criteria of lifting. Different scenarios of the lifting were introduced in different countries but the main principle of the lifting was to comply specific conditions and recommendations in order to prevent possible growth of the incidence of COVID-19.  </w:t>
      </w:r>
    </w:p>
    <w:p w:rsidR="00FB59F5" w:rsidRDefault="00FB59F5" w:rsidP="00FB59F5">
      <w:pPr>
        <w:shd w:val="clear" w:color="auto" w:fill="FFFFFF"/>
        <w:ind w:firstLine="709"/>
        <w:jc w:val="both"/>
        <w:rPr>
          <w:color w:val="222222"/>
          <w:sz w:val="28"/>
          <w:szCs w:val="28"/>
          <w:lang w:val="en-US" w:eastAsia="uk-UA"/>
        </w:rPr>
      </w:pPr>
      <w:bookmarkStart w:id="4" w:name="_Hlk46426949"/>
      <w:r w:rsidRPr="00FA04C3">
        <w:rPr>
          <w:color w:val="222222"/>
          <w:sz w:val="28"/>
          <w:szCs w:val="28"/>
          <w:lang w:val="en-US" w:eastAsia="uk-UA"/>
        </w:rPr>
        <w:t xml:space="preserve">The online </w:t>
      </w:r>
      <w:proofErr w:type="spellStart"/>
      <w:r w:rsidRPr="00FA04C3">
        <w:rPr>
          <w:color w:val="222222"/>
          <w:sz w:val="28"/>
          <w:szCs w:val="28"/>
          <w:lang w:val="en-US" w:eastAsia="uk-UA"/>
        </w:rPr>
        <w:t>SoNAR</w:t>
      </w:r>
      <w:proofErr w:type="spellEnd"/>
      <w:r w:rsidRPr="00FA04C3">
        <w:rPr>
          <w:color w:val="222222"/>
          <w:sz w:val="28"/>
          <w:szCs w:val="28"/>
          <w:lang w:val="en-US" w:eastAsia="uk-UA"/>
        </w:rPr>
        <w:t xml:space="preserve">-Global Easter European regional hub meeting </w:t>
      </w:r>
      <w:r>
        <w:rPr>
          <w:color w:val="222222"/>
          <w:sz w:val="28"/>
          <w:szCs w:val="28"/>
          <w:lang w:val="en-US" w:eastAsia="uk-UA"/>
        </w:rPr>
        <w:t xml:space="preserve">is aimed to </w:t>
      </w:r>
      <w:bookmarkEnd w:id="4"/>
      <w:r>
        <w:rPr>
          <w:color w:val="222222"/>
          <w:sz w:val="28"/>
          <w:szCs w:val="28"/>
          <w:lang w:val="en-US" w:eastAsia="uk-UA"/>
        </w:rPr>
        <w:t>exchange the experience between countries in field of conducting routine and supplementary vaccination during COVID-19, to identify common challenges and ways of their overcoming and to discuss the different scenarios of the quarantine lifting</w:t>
      </w:r>
      <w:r w:rsidRPr="00FB59F5">
        <w:rPr>
          <w:color w:val="222222"/>
          <w:sz w:val="28"/>
          <w:szCs w:val="28"/>
          <w:lang w:val="en-US" w:eastAsia="uk-UA"/>
        </w:rPr>
        <w:t xml:space="preserve"> </w:t>
      </w:r>
      <w:r>
        <w:rPr>
          <w:color w:val="222222"/>
          <w:sz w:val="28"/>
          <w:szCs w:val="28"/>
          <w:lang w:val="en-US" w:eastAsia="uk-UA"/>
        </w:rPr>
        <w:t>in countries and the consequences of the lifting.</w:t>
      </w:r>
    </w:p>
    <w:p w:rsidR="00FB59F5" w:rsidRDefault="00FB59F5" w:rsidP="00FB59F5">
      <w:pPr>
        <w:shd w:val="clear" w:color="auto" w:fill="FFFFFF"/>
        <w:ind w:firstLine="709"/>
        <w:jc w:val="both"/>
        <w:rPr>
          <w:b/>
          <w:color w:val="222222"/>
          <w:sz w:val="28"/>
          <w:szCs w:val="28"/>
          <w:lang w:val="en-US" w:eastAsia="uk-UA"/>
        </w:rPr>
      </w:pPr>
      <w:r w:rsidRPr="00193AEB">
        <w:rPr>
          <w:b/>
          <w:color w:val="222222"/>
          <w:sz w:val="28"/>
          <w:szCs w:val="28"/>
          <w:lang w:val="en-US" w:eastAsia="uk-UA"/>
        </w:rPr>
        <w:t>Specific tasks</w:t>
      </w:r>
      <w:r>
        <w:rPr>
          <w:b/>
          <w:color w:val="222222"/>
          <w:sz w:val="28"/>
          <w:szCs w:val="28"/>
          <w:lang w:val="en-US" w:eastAsia="uk-UA"/>
        </w:rPr>
        <w:t>:</w:t>
      </w:r>
    </w:p>
    <w:p w:rsidR="00FB59F5" w:rsidRDefault="00FB59F5" w:rsidP="00FB59F5">
      <w:pPr>
        <w:numPr>
          <w:ilvl w:val="0"/>
          <w:numId w:val="3"/>
        </w:numPr>
        <w:shd w:val="clear" w:color="auto" w:fill="FFFFFF"/>
        <w:jc w:val="both"/>
        <w:rPr>
          <w:color w:val="222222"/>
          <w:sz w:val="28"/>
          <w:szCs w:val="28"/>
          <w:lang w:val="en-US" w:eastAsia="uk-UA"/>
        </w:rPr>
      </w:pPr>
      <w:r>
        <w:rPr>
          <w:color w:val="222222"/>
          <w:sz w:val="28"/>
          <w:szCs w:val="28"/>
          <w:lang w:val="en-US" w:eastAsia="uk-UA"/>
        </w:rPr>
        <w:t>to present</w:t>
      </w:r>
      <w:r w:rsidRPr="00193AEB">
        <w:rPr>
          <w:color w:val="222222"/>
          <w:sz w:val="28"/>
          <w:szCs w:val="28"/>
          <w:lang w:val="en-US" w:eastAsia="uk-UA"/>
        </w:rPr>
        <w:t xml:space="preserve"> </w:t>
      </w:r>
      <w:r>
        <w:rPr>
          <w:color w:val="222222"/>
          <w:sz w:val="28"/>
          <w:szCs w:val="28"/>
          <w:lang w:val="en-US" w:eastAsia="uk-UA"/>
        </w:rPr>
        <w:t>the policy on routine vaccination in different countries during COVID-19 pandemic;</w:t>
      </w:r>
    </w:p>
    <w:p w:rsidR="00FB59F5" w:rsidRDefault="00FB59F5" w:rsidP="00FB59F5">
      <w:pPr>
        <w:numPr>
          <w:ilvl w:val="0"/>
          <w:numId w:val="3"/>
        </w:numPr>
        <w:shd w:val="clear" w:color="auto" w:fill="FFFFFF"/>
        <w:jc w:val="both"/>
        <w:rPr>
          <w:color w:val="222222"/>
          <w:sz w:val="28"/>
          <w:szCs w:val="28"/>
          <w:lang w:val="en-US" w:eastAsia="uk-UA"/>
        </w:rPr>
      </w:pPr>
      <w:r>
        <w:rPr>
          <w:color w:val="222222"/>
          <w:sz w:val="28"/>
          <w:szCs w:val="28"/>
          <w:lang w:val="en-US" w:eastAsia="uk-UA"/>
        </w:rPr>
        <w:t>to present</w:t>
      </w:r>
      <w:r w:rsidRPr="00193AEB">
        <w:rPr>
          <w:color w:val="222222"/>
          <w:sz w:val="28"/>
          <w:szCs w:val="28"/>
          <w:lang w:val="en-US" w:eastAsia="uk-UA"/>
        </w:rPr>
        <w:t xml:space="preserve"> </w:t>
      </w:r>
      <w:r>
        <w:rPr>
          <w:color w:val="222222"/>
          <w:sz w:val="28"/>
          <w:szCs w:val="28"/>
          <w:lang w:val="en-US" w:eastAsia="uk-UA"/>
        </w:rPr>
        <w:t>the policy on supplementary (catch up) vaccination in different countries during COVID-19 pandemic;</w:t>
      </w:r>
    </w:p>
    <w:p w:rsidR="00FB59F5" w:rsidRDefault="00FB59F5" w:rsidP="00FB59F5">
      <w:pPr>
        <w:numPr>
          <w:ilvl w:val="0"/>
          <w:numId w:val="3"/>
        </w:numPr>
        <w:shd w:val="clear" w:color="auto" w:fill="FFFFFF"/>
        <w:jc w:val="both"/>
        <w:rPr>
          <w:color w:val="222222"/>
          <w:sz w:val="28"/>
          <w:szCs w:val="28"/>
          <w:lang w:val="en-US" w:eastAsia="uk-UA"/>
        </w:rPr>
      </w:pPr>
      <w:r>
        <w:rPr>
          <w:color w:val="222222"/>
          <w:sz w:val="28"/>
          <w:szCs w:val="28"/>
          <w:lang w:val="en-US" w:eastAsia="uk-UA"/>
        </w:rPr>
        <w:t>to present and discuss different strategies and ways for the quarantine lifting;</w:t>
      </w:r>
    </w:p>
    <w:p w:rsidR="00FB59F5" w:rsidRDefault="00FB59F5" w:rsidP="00FB59F5">
      <w:pPr>
        <w:numPr>
          <w:ilvl w:val="0"/>
          <w:numId w:val="3"/>
        </w:numPr>
        <w:shd w:val="clear" w:color="auto" w:fill="FFFFFF"/>
        <w:jc w:val="both"/>
        <w:rPr>
          <w:color w:val="222222"/>
          <w:sz w:val="28"/>
          <w:szCs w:val="28"/>
          <w:lang w:val="en-US" w:eastAsia="uk-UA"/>
        </w:rPr>
      </w:pPr>
      <w:r>
        <w:rPr>
          <w:color w:val="222222"/>
          <w:sz w:val="28"/>
          <w:szCs w:val="28"/>
          <w:lang w:val="en-US" w:eastAsia="uk-UA"/>
        </w:rPr>
        <w:lastRenderedPageBreak/>
        <w:t>to discuss challenges for health care and public health systems occur during the quarantine lifting.</w:t>
      </w:r>
    </w:p>
    <w:p w:rsidR="00FB59F5" w:rsidRDefault="00FB59F5" w:rsidP="00FB59F5">
      <w:pPr>
        <w:shd w:val="clear" w:color="auto" w:fill="FFFFFF"/>
        <w:jc w:val="both"/>
        <w:rPr>
          <w:color w:val="222222"/>
          <w:sz w:val="28"/>
          <w:szCs w:val="28"/>
          <w:lang w:val="en-US" w:eastAsia="uk-UA"/>
        </w:rPr>
      </w:pPr>
    </w:p>
    <w:p w:rsidR="00FB59F5" w:rsidRPr="0021376A" w:rsidRDefault="00FB59F5" w:rsidP="00FB59F5">
      <w:pPr>
        <w:shd w:val="clear" w:color="auto" w:fill="FFFFFF"/>
        <w:ind w:firstLine="709"/>
        <w:jc w:val="both"/>
        <w:rPr>
          <w:b/>
          <w:color w:val="222222"/>
          <w:sz w:val="28"/>
          <w:szCs w:val="28"/>
          <w:lang w:eastAsia="uk-UA"/>
        </w:rPr>
      </w:pPr>
      <w:r>
        <w:rPr>
          <w:b/>
          <w:color w:val="222222"/>
          <w:sz w:val="28"/>
          <w:szCs w:val="28"/>
          <w:lang w:val="en-US" w:eastAsia="uk-UA"/>
        </w:rPr>
        <w:t>Expected p</w:t>
      </w:r>
      <w:r w:rsidRPr="007B50B2">
        <w:rPr>
          <w:b/>
          <w:color w:val="222222"/>
          <w:sz w:val="28"/>
          <w:szCs w:val="28"/>
          <w:lang w:val="en-US" w:eastAsia="uk-UA"/>
        </w:rPr>
        <w:t>articipants</w:t>
      </w:r>
      <w:r>
        <w:rPr>
          <w:b/>
          <w:color w:val="222222"/>
          <w:sz w:val="28"/>
          <w:szCs w:val="28"/>
          <w:lang w:eastAsia="uk-UA"/>
        </w:rPr>
        <w:t>:</w:t>
      </w:r>
      <w:r w:rsidRPr="007B50B2">
        <w:rPr>
          <w:b/>
          <w:color w:val="222222"/>
          <w:sz w:val="28"/>
          <w:szCs w:val="28"/>
          <w:lang w:val="en-US" w:eastAsia="uk-UA"/>
        </w:rPr>
        <w:t xml:space="preserve"> </w:t>
      </w:r>
    </w:p>
    <w:p w:rsidR="00FB59F5" w:rsidRPr="007B50B2" w:rsidRDefault="00FB59F5" w:rsidP="00FB59F5">
      <w:pPr>
        <w:numPr>
          <w:ilvl w:val="0"/>
          <w:numId w:val="2"/>
        </w:numPr>
        <w:shd w:val="clear" w:color="auto" w:fill="FFFFFF"/>
        <w:jc w:val="both"/>
        <w:rPr>
          <w:color w:val="222222"/>
          <w:sz w:val="28"/>
          <w:szCs w:val="28"/>
          <w:lang w:val="en-US" w:eastAsia="uk-UA"/>
        </w:rPr>
      </w:pPr>
      <w:r w:rsidRPr="007B50B2">
        <w:rPr>
          <w:color w:val="222222"/>
          <w:sz w:val="28"/>
          <w:szCs w:val="28"/>
          <w:lang w:val="en-US" w:eastAsia="uk-UA"/>
        </w:rPr>
        <w:t>Public Health Center of the Ministry of Health of Ukraine</w:t>
      </w:r>
      <w:r w:rsidRPr="00FB59F5">
        <w:rPr>
          <w:color w:val="222222"/>
          <w:sz w:val="28"/>
          <w:szCs w:val="28"/>
          <w:lang w:val="en-US" w:eastAsia="uk-UA"/>
        </w:rPr>
        <w:t>;</w:t>
      </w:r>
    </w:p>
    <w:p w:rsidR="00FB59F5" w:rsidRPr="007B50B2" w:rsidRDefault="00FB59F5" w:rsidP="00FB59F5">
      <w:pPr>
        <w:numPr>
          <w:ilvl w:val="0"/>
          <w:numId w:val="2"/>
        </w:numPr>
        <w:shd w:val="clear" w:color="auto" w:fill="FFFFFF"/>
        <w:jc w:val="both"/>
        <w:rPr>
          <w:color w:val="222222"/>
          <w:sz w:val="28"/>
          <w:szCs w:val="28"/>
          <w:lang w:val="en-US" w:eastAsia="uk-UA"/>
        </w:rPr>
      </w:pPr>
      <w:r>
        <w:rPr>
          <w:color w:val="222222"/>
          <w:sz w:val="28"/>
          <w:szCs w:val="28"/>
          <w:lang w:val="en-US" w:eastAsia="uk-UA"/>
        </w:rPr>
        <w:t>FETP Ukraine</w:t>
      </w:r>
      <w:r>
        <w:rPr>
          <w:color w:val="222222"/>
          <w:sz w:val="28"/>
          <w:szCs w:val="28"/>
          <w:lang w:eastAsia="uk-UA"/>
        </w:rPr>
        <w:t>;</w:t>
      </w:r>
    </w:p>
    <w:p w:rsidR="00FB59F5" w:rsidRDefault="00FB59F5" w:rsidP="00FB59F5">
      <w:pPr>
        <w:numPr>
          <w:ilvl w:val="0"/>
          <w:numId w:val="2"/>
        </w:numPr>
        <w:shd w:val="clear" w:color="auto" w:fill="FFFFFF"/>
        <w:jc w:val="both"/>
        <w:rPr>
          <w:color w:val="222222"/>
          <w:sz w:val="28"/>
          <w:szCs w:val="28"/>
          <w:lang w:val="en-US" w:eastAsia="uk-UA"/>
        </w:rPr>
      </w:pPr>
      <w:r w:rsidRPr="007B50B2">
        <w:rPr>
          <w:color w:val="222222"/>
          <w:sz w:val="28"/>
          <w:szCs w:val="28"/>
          <w:lang w:val="en-US" w:eastAsia="uk-UA"/>
        </w:rPr>
        <w:t>National Center for Disease Control and Public Health</w:t>
      </w:r>
      <w:r>
        <w:rPr>
          <w:color w:val="222222"/>
          <w:sz w:val="28"/>
          <w:szCs w:val="28"/>
          <w:lang w:val="en-US" w:eastAsia="uk-UA"/>
        </w:rPr>
        <w:t xml:space="preserve"> of Georgia</w:t>
      </w:r>
      <w:r w:rsidRPr="00FB59F5">
        <w:rPr>
          <w:color w:val="222222"/>
          <w:sz w:val="28"/>
          <w:szCs w:val="28"/>
          <w:lang w:val="en-US" w:eastAsia="uk-UA"/>
        </w:rPr>
        <w:t>;</w:t>
      </w:r>
    </w:p>
    <w:p w:rsidR="00FB59F5" w:rsidRDefault="00FB59F5" w:rsidP="00FB59F5">
      <w:pPr>
        <w:numPr>
          <w:ilvl w:val="0"/>
          <w:numId w:val="2"/>
        </w:numPr>
        <w:shd w:val="clear" w:color="auto" w:fill="FFFFFF"/>
        <w:jc w:val="both"/>
        <w:rPr>
          <w:color w:val="222222"/>
          <w:sz w:val="28"/>
          <w:szCs w:val="28"/>
          <w:lang w:val="en-US" w:eastAsia="uk-UA"/>
        </w:rPr>
      </w:pPr>
      <w:r w:rsidRPr="007B50B2">
        <w:rPr>
          <w:color w:val="222222"/>
          <w:sz w:val="28"/>
          <w:szCs w:val="28"/>
          <w:lang w:val="en-US" w:eastAsia="uk-UA"/>
        </w:rPr>
        <w:t>National Center for Disease Control and</w:t>
      </w:r>
      <w:r>
        <w:rPr>
          <w:color w:val="222222"/>
          <w:sz w:val="28"/>
          <w:szCs w:val="28"/>
          <w:lang w:val="en-US" w:eastAsia="uk-UA"/>
        </w:rPr>
        <w:t xml:space="preserve"> Prevention </w:t>
      </w:r>
      <w:r w:rsidRPr="007B50B2">
        <w:rPr>
          <w:color w:val="222222"/>
          <w:sz w:val="28"/>
          <w:szCs w:val="28"/>
          <w:lang w:val="en-US" w:eastAsia="uk-UA"/>
        </w:rPr>
        <w:t>Ministry of Health</w:t>
      </w:r>
      <w:r>
        <w:rPr>
          <w:color w:val="222222"/>
          <w:sz w:val="28"/>
          <w:szCs w:val="28"/>
          <w:lang w:val="en-US" w:eastAsia="uk-UA"/>
        </w:rPr>
        <w:t xml:space="preserve"> Republic of Armenia</w:t>
      </w:r>
      <w:r w:rsidRPr="00FB59F5">
        <w:rPr>
          <w:color w:val="222222"/>
          <w:sz w:val="28"/>
          <w:szCs w:val="28"/>
          <w:lang w:val="en-US" w:eastAsia="uk-UA"/>
        </w:rPr>
        <w:t>;</w:t>
      </w:r>
    </w:p>
    <w:p w:rsidR="00FB59F5" w:rsidRDefault="00FB59F5" w:rsidP="00FB59F5">
      <w:pPr>
        <w:numPr>
          <w:ilvl w:val="0"/>
          <w:numId w:val="2"/>
        </w:numPr>
        <w:shd w:val="clear" w:color="auto" w:fill="FFFFFF"/>
        <w:jc w:val="both"/>
        <w:rPr>
          <w:color w:val="222222"/>
          <w:sz w:val="28"/>
          <w:szCs w:val="28"/>
          <w:lang w:val="en-US" w:eastAsia="uk-UA"/>
        </w:rPr>
      </w:pPr>
      <w:r>
        <w:rPr>
          <w:color w:val="222222"/>
          <w:sz w:val="28"/>
          <w:szCs w:val="28"/>
          <w:lang w:val="en-US" w:eastAsia="uk-UA"/>
        </w:rPr>
        <w:t>National Agency for Public Health Republic of Moldova</w:t>
      </w:r>
      <w:r w:rsidRPr="00FB59F5">
        <w:rPr>
          <w:color w:val="222222"/>
          <w:sz w:val="28"/>
          <w:szCs w:val="28"/>
          <w:lang w:val="en-US" w:eastAsia="uk-UA"/>
        </w:rPr>
        <w:t>;</w:t>
      </w:r>
    </w:p>
    <w:p w:rsidR="00FB59F5" w:rsidRDefault="00FB59F5" w:rsidP="00FB59F5">
      <w:pPr>
        <w:numPr>
          <w:ilvl w:val="0"/>
          <w:numId w:val="2"/>
        </w:numPr>
        <w:shd w:val="clear" w:color="auto" w:fill="FFFFFF"/>
        <w:jc w:val="both"/>
        <w:rPr>
          <w:color w:val="222222"/>
          <w:sz w:val="28"/>
          <w:szCs w:val="28"/>
          <w:lang w:val="en-US" w:eastAsia="uk-UA"/>
        </w:rPr>
      </w:pPr>
      <w:proofErr w:type="spellStart"/>
      <w:r>
        <w:rPr>
          <w:color w:val="222222"/>
          <w:sz w:val="28"/>
          <w:szCs w:val="28"/>
          <w:lang w:val="en-US" w:eastAsia="uk-UA"/>
        </w:rPr>
        <w:t>SoNAR</w:t>
      </w:r>
      <w:proofErr w:type="spellEnd"/>
      <w:r>
        <w:rPr>
          <w:color w:val="222222"/>
          <w:sz w:val="28"/>
          <w:szCs w:val="28"/>
          <w:lang w:val="en-US" w:eastAsia="uk-UA"/>
        </w:rPr>
        <w:t xml:space="preserve"> Global representatives</w:t>
      </w:r>
      <w:r>
        <w:rPr>
          <w:color w:val="222222"/>
          <w:sz w:val="28"/>
          <w:szCs w:val="28"/>
          <w:lang w:eastAsia="uk-UA"/>
        </w:rPr>
        <w:t>;</w:t>
      </w:r>
    </w:p>
    <w:p w:rsidR="00FB59F5" w:rsidRDefault="00FB59F5" w:rsidP="00FB59F5">
      <w:pPr>
        <w:numPr>
          <w:ilvl w:val="0"/>
          <w:numId w:val="2"/>
        </w:numPr>
        <w:shd w:val="clear" w:color="auto" w:fill="FFFFFF"/>
        <w:jc w:val="both"/>
        <w:rPr>
          <w:color w:val="222222"/>
          <w:sz w:val="28"/>
          <w:szCs w:val="28"/>
          <w:lang w:val="en-US" w:eastAsia="uk-UA"/>
        </w:rPr>
      </w:pPr>
      <w:proofErr w:type="spellStart"/>
      <w:r>
        <w:rPr>
          <w:color w:val="222222"/>
          <w:sz w:val="28"/>
          <w:szCs w:val="28"/>
          <w:lang w:val="en-US" w:eastAsia="uk-UA"/>
        </w:rPr>
        <w:t>MediPIET</w:t>
      </w:r>
      <w:proofErr w:type="spellEnd"/>
      <w:r>
        <w:rPr>
          <w:color w:val="222222"/>
          <w:sz w:val="28"/>
          <w:szCs w:val="28"/>
          <w:lang w:eastAsia="uk-UA"/>
        </w:rPr>
        <w:t xml:space="preserve"> </w:t>
      </w:r>
      <w:r>
        <w:rPr>
          <w:color w:val="222222"/>
          <w:sz w:val="28"/>
          <w:szCs w:val="28"/>
          <w:lang w:val="en-US" w:eastAsia="uk-UA"/>
        </w:rPr>
        <w:t>Project representatives.</w:t>
      </w:r>
    </w:p>
    <w:p w:rsidR="00FB59F5" w:rsidRDefault="00FB59F5" w:rsidP="00FB59F5">
      <w:pPr>
        <w:shd w:val="clear" w:color="auto" w:fill="FFFFFF"/>
        <w:jc w:val="both"/>
        <w:rPr>
          <w:b/>
          <w:sz w:val="28"/>
          <w:szCs w:val="28"/>
          <w:lang w:val="en-US"/>
        </w:rPr>
      </w:pPr>
    </w:p>
    <w:p w:rsidR="00FB59F5" w:rsidRPr="0062350A" w:rsidRDefault="00FB59F5" w:rsidP="00FB59F5">
      <w:pPr>
        <w:shd w:val="clear" w:color="auto" w:fill="FFFFFF"/>
        <w:ind w:left="567"/>
        <w:jc w:val="center"/>
        <w:rPr>
          <w:b/>
          <w:color w:val="7030A0"/>
          <w:sz w:val="28"/>
          <w:szCs w:val="28"/>
          <w:lang w:val="en-US"/>
        </w:rPr>
      </w:pPr>
      <w:r w:rsidRPr="0062350A">
        <w:rPr>
          <w:b/>
          <w:color w:val="7030A0"/>
          <w:sz w:val="28"/>
          <w:szCs w:val="28"/>
          <w:lang w:val="en-US"/>
        </w:rPr>
        <w:t>Tentative agenda</w:t>
      </w:r>
    </w:p>
    <w:p w:rsidR="00FB59F5" w:rsidRPr="00A21F04" w:rsidRDefault="00FB59F5" w:rsidP="00FB59F5">
      <w:pPr>
        <w:shd w:val="clear" w:color="auto" w:fill="FFFFFF"/>
        <w:ind w:left="567"/>
        <w:jc w:val="both"/>
        <w:rPr>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373"/>
        <w:gridCol w:w="4528"/>
        <w:gridCol w:w="3144"/>
        <w:gridCol w:w="15"/>
      </w:tblGrid>
      <w:tr w:rsidR="00FB59F5" w:rsidRPr="00B017FE" w:rsidTr="008A065E">
        <w:trPr>
          <w:gridAfter w:val="1"/>
          <w:wAfter w:w="16" w:type="dxa"/>
        </w:trPr>
        <w:tc>
          <w:tcPr>
            <w:tcW w:w="1458" w:type="dxa"/>
            <w:shd w:val="clear" w:color="auto" w:fill="D9E2F3"/>
            <w:tcMar>
              <w:top w:w="20" w:type="dxa"/>
              <w:left w:w="40" w:type="dxa"/>
              <w:bottom w:w="20" w:type="dxa"/>
              <w:right w:w="40" w:type="dxa"/>
            </w:tcMar>
            <w:vAlign w:val="center"/>
            <w:hideMark/>
          </w:tcPr>
          <w:p w:rsidR="00FB59F5" w:rsidRPr="0062350A" w:rsidRDefault="00FB59F5" w:rsidP="008A065E">
            <w:pPr>
              <w:widowControl w:val="0"/>
              <w:jc w:val="center"/>
              <w:rPr>
                <w:lang w:val="en-US"/>
              </w:rPr>
            </w:pPr>
            <w:r>
              <w:rPr>
                <w:b/>
                <w:lang w:val="en-US"/>
              </w:rPr>
              <w:t>Time</w:t>
            </w:r>
          </w:p>
        </w:tc>
        <w:tc>
          <w:tcPr>
            <w:tcW w:w="4930" w:type="dxa"/>
            <w:shd w:val="clear" w:color="auto" w:fill="D9E2F3"/>
            <w:tcMar>
              <w:top w:w="20" w:type="dxa"/>
              <w:left w:w="40" w:type="dxa"/>
              <w:bottom w:w="20" w:type="dxa"/>
              <w:right w:w="40" w:type="dxa"/>
            </w:tcMar>
            <w:vAlign w:val="center"/>
            <w:hideMark/>
          </w:tcPr>
          <w:p w:rsidR="00FB59F5" w:rsidRPr="0062350A" w:rsidRDefault="00FB59F5" w:rsidP="008A065E">
            <w:pPr>
              <w:jc w:val="center"/>
              <w:rPr>
                <w:b/>
                <w:lang w:val="en-US"/>
              </w:rPr>
            </w:pPr>
            <w:r>
              <w:rPr>
                <w:b/>
                <w:lang w:val="en-US"/>
              </w:rPr>
              <w:t>Activity</w:t>
            </w:r>
          </w:p>
        </w:tc>
        <w:tc>
          <w:tcPr>
            <w:tcW w:w="3279" w:type="dxa"/>
            <w:shd w:val="clear" w:color="auto" w:fill="D9E2F3"/>
            <w:vAlign w:val="center"/>
          </w:tcPr>
          <w:p w:rsidR="00FB59F5" w:rsidRPr="0062350A" w:rsidRDefault="00FB59F5" w:rsidP="008A065E">
            <w:pPr>
              <w:jc w:val="center"/>
              <w:rPr>
                <w:b/>
                <w:lang w:val="en-US"/>
              </w:rPr>
            </w:pPr>
            <w:r>
              <w:rPr>
                <w:b/>
                <w:lang w:val="en-US"/>
              </w:rPr>
              <w:t>Presenter/facilitator</w:t>
            </w:r>
          </w:p>
        </w:tc>
      </w:tr>
      <w:tr w:rsidR="00FB59F5" w:rsidRPr="00C35233" w:rsidTr="008A065E">
        <w:tc>
          <w:tcPr>
            <w:tcW w:w="9683" w:type="dxa"/>
            <w:gridSpan w:val="4"/>
            <w:shd w:val="clear" w:color="auto" w:fill="D9E2F3"/>
            <w:tcMar>
              <w:top w:w="20" w:type="dxa"/>
              <w:left w:w="40" w:type="dxa"/>
              <w:bottom w:w="20" w:type="dxa"/>
              <w:right w:w="40" w:type="dxa"/>
            </w:tcMar>
            <w:vAlign w:val="center"/>
          </w:tcPr>
          <w:p w:rsidR="00FB59F5" w:rsidRPr="00BC4690" w:rsidRDefault="00FB59F5" w:rsidP="008A065E">
            <w:pPr>
              <w:jc w:val="center"/>
              <w:rPr>
                <w:b/>
                <w:color w:val="FF0000"/>
              </w:rPr>
            </w:pPr>
            <w:r w:rsidRPr="00BC4690">
              <w:rPr>
                <w:b/>
                <w:color w:val="FF0000"/>
                <w:lang w:val="en-US"/>
              </w:rPr>
              <w:t xml:space="preserve"> </w:t>
            </w:r>
            <w:r>
              <w:rPr>
                <w:b/>
                <w:color w:val="FF0000"/>
                <w:lang w:val="en-US"/>
              </w:rPr>
              <w:t xml:space="preserve">September, 15, 2020 </w:t>
            </w:r>
          </w:p>
        </w:tc>
      </w:tr>
      <w:tr w:rsidR="00FB59F5" w:rsidRPr="00003B6B" w:rsidTr="008A065E">
        <w:trPr>
          <w:gridAfter w:val="1"/>
          <w:wAfter w:w="16" w:type="dxa"/>
        </w:trPr>
        <w:tc>
          <w:tcPr>
            <w:tcW w:w="1458" w:type="dxa"/>
            <w:shd w:val="clear" w:color="auto" w:fill="auto"/>
            <w:tcMar>
              <w:top w:w="20" w:type="dxa"/>
              <w:left w:w="40" w:type="dxa"/>
              <w:bottom w:w="20" w:type="dxa"/>
              <w:right w:w="40" w:type="dxa"/>
            </w:tcMar>
            <w:hideMark/>
          </w:tcPr>
          <w:p w:rsidR="00FB59F5" w:rsidRDefault="00FB59F5" w:rsidP="008A065E">
            <w:pPr>
              <w:pStyle w:val="ListParagraph"/>
              <w:spacing w:after="120"/>
              <w:ind w:left="0"/>
              <w:rPr>
                <w:b/>
                <w:color w:val="FF0000"/>
                <w:lang w:val="en-US"/>
              </w:rPr>
            </w:pPr>
            <w:r>
              <w:rPr>
                <w:b/>
                <w:color w:val="FF0000"/>
                <w:lang w:val="en-US"/>
              </w:rPr>
              <w:t xml:space="preserve">EEST </w:t>
            </w:r>
          </w:p>
          <w:p w:rsidR="00FB59F5" w:rsidRDefault="00FB59F5" w:rsidP="008A065E">
            <w:pPr>
              <w:pStyle w:val="ListParagraph"/>
              <w:spacing w:after="120"/>
              <w:ind w:left="0"/>
              <w:rPr>
                <w:rFonts w:ascii="Cambria" w:hAnsi="Cambria"/>
                <w:iCs/>
                <w:lang w:val="uk-UA"/>
              </w:rPr>
            </w:pPr>
            <w:r>
              <w:rPr>
                <w:b/>
                <w:color w:val="FF0000"/>
                <w:lang w:val="en-US"/>
              </w:rPr>
              <w:t>(Kyiv time)</w:t>
            </w:r>
          </w:p>
          <w:p w:rsidR="00FB59F5" w:rsidRPr="00BC4690" w:rsidRDefault="00FB59F5" w:rsidP="008A065E">
            <w:pPr>
              <w:pStyle w:val="ListParagraph"/>
              <w:spacing w:after="120"/>
              <w:ind w:left="0"/>
              <w:rPr>
                <w:rFonts w:ascii="Cambria" w:hAnsi="Cambria"/>
                <w:iCs/>
                <w:lang w:val="en-US"/>
              </w:rPr>
            </w:pPr>
            <w:r>
              <w:rPr>
                <w:rFonts w:ascii="Cambria" w:hAnsi="Cambria"/>
                <w:iCs/>
                <w:lang w:val="en-US"/>
              </w:rPr>
              <w:t>11</w:t>
            </w:r>
            <w:r w:rsidRPr="002F3643">
              <w:rPr>
                <w:rFonts w:ascii="Cambria" w:hAnsi="Cambria"/>
                <w:iCs/>
                <w:lang w:val="uk-UA"/>
              </w:rPr>
              <w:t>.</w:t>
            </w:r>
            <w:r>
              <w:rPr>
                <w:rFonts w:ascii="Cambria" w:hAnsi="Cambria"/>
                <w:iCs/>
                <w:lang w:val="en-US"/>
              </w:rPr>
              <w:t>00</w:t>
            </w:r>
            <w:r w:rsidRPr="002F3643">
              <w:rPr>
                <w:rFonts w:ascii="Cambria" w:hAnsi="Cambria"/>
                <w:iCs/>
                <w:lang w:val="uk-UA"/>
              </w:rPr>
              <w:t xml:space="preserve"> –1</w:t>
            </w:r>
            <w:r>
              <w:rPr>
                <w:rFonts w:ascii="Cambria" w:hAnsi="Cambria"/>
                <w:iCs/>
                <w:lang w:val="uk-UA"/>
              </w:rPr>
              <w:t>1</w:t>
            </w:r>
            <w:r w:rsidRPr="002F3643">
              <w:rPr>
                <w:rFonts w:ascii="Cambria" w:hAnsi="Cambria"/>
                <w:iCs/>
                <w:lang w:val="uk-UA"/>
              </w:rPr>
              <w:t>.</w:t>
            </w:r>
            <w:r>
              <w:rPr>
                <w:rFonts w:ascii="Cambria" w:hAnsi="Cambria"/>
                <w:iCs/>
                <w:lang w:val="en-US"/>
              </w:rPr>
              <w:t>10</w:t>
            </w:r>
          </w:p>
        </w:tc>
        <w:tc>
          <w:tcPr>
            <w:tcW w:w="8209" w:type="dxa"/>
            <w:gridSpan w:val="2"/>
            <w:shd w:val="clear" w:color="auto" w:fill="auto"/>
            <w:tcMar>
              <w:top w:w="20" w:type="dxa"/>
              <w:left w:w="40" w:type="dxa"/>
              <w:bottom w:w="20" w:type="dxa"/>
              <w:right w:w="40" w:type="dxa"/>
            </w:tcMar>
            <w:hideMark/>
          </w:tcPr>
          <w:p w:rsidR="00FB59F5" w:rsidRDefault="00FB59F5" w:rsidP="008A065E">
            <w:pPr>
              <w:pStyle w:val="ListParagraph"/>
              <w:spacing w:after="120"/>
              <w:ind w:left="0"/>
              <w:jc w:val="center"/>
              <w:rPr>
                <w:rFonts w:ascii="Cambria" w:hAnsi="Cambria"/>
                <w:lang w:val="en-US"/>
              </w:rPr>
            </w:pPr>
            <w:r>
              <w:rPr>
                <w:rFonts w:ascii="Cambria" w:hAnsi="Cambria"/>
                <w:lang w:val="en-US"/>
              </w:rPr>
              <w:t xml:space="preserve">Words of welcome </w:t>
            </w:r>
          </w:p>
          <w:p w:rsidR="00FB59F5" w:rsidRDefault="00FB59F5" w:rsidP="008A065E">
            <w:pPr>
              <w:pStyle w:val="ListParagraph"/>
              <w:spacing w:after="120"/>
              <w:ind w:left="0"/>
              <w:jc w:val="center"/>
              <w:rPr>
                <w:rFonts w:ascii="Cambria" w:hAnsi="Cambria"/>
                <w:lang w:val="en-US"/>
              </w:rPr>
            </w:pPr>
            <w:r>
              <w:rPr>
                <w:rFonts w:ascii="Cambria" w:hAnsi="Cambria"/>
                <w:lang w:val="en-US"/>
              </w:rPr>
              <w:t>Introduction of participants</w:t>
            </w:r>
          </w:p>
          <w:p w:rsidR="00FB59F5" w:rsidRPr="002F3643" w:rsidRDefault="00FB59F5" w:rsidP="008A065E">
            <w:pPr>
              <w:pStyle w:val="ListParagraph"/>
              <w:spacing w:after="120"/>
              <w:ind w:left="0"/>
              <w:rPr>
                <w:rFonts w:ascii="Cambria" w:hAnsi="Cambria"/>
                <w:lang w:val="en-US"/>
              </w:rPr>
            </w:pPr>
            <w:r>
              <w:rPr>
                <w:rFonts w:ascii="Cambria" w:hAnsi="Cambria"/>
                <w:lang w:val="en-US"/>
              </w:rPr>
              <w:t xml:space="preserve"> </w:t>
            </w:r>
          </w:p>
        </w:tc>
      </w:tr>
      <w:tr w:rsidR="00FB59F5" w:rsidRPr="00052939" w:rsidTr="008A065E">
        <w:trPr>
          <w:gridAfter w:val="1"/>
          <w:wAfter w:w="16" w:type="dxa"/>
        </w:trPr>
        <w:tc>
          <w:tcPr>
            <w:tcW w:w="1458" w:type="dxa"/>
            <w:tcMar>
              <w:top w:w="20" w:type="dxa"/>
              <w:left w:w="40" w:type="dxa"/>
              <w:bottom w:w="20" w:type="dxa"/>
              <w:right w:w="40" w:type="dxa"/>
            </w:tcMar>
          </w:tcPr>
          <w:p w:rsidR="00FB59F5" w:rsidRPr="00BC4690" w:rsidRDefault="00FB59F5" w:rsidP="008A065E">
            <w:pPr>
              <w:rPr>
                <w:lang w:val="en-US"/>
              </w:rPr>
            </w:pPr>
            <w:r>
              <w:t>1</w:t>
            </w:r>
            <w:r>
              <w:rPr>
                <w:lang w:val="en-US"/>
              </w:rPr>
              <w:t>1</w:t>
            </w:r>
            <w:r>
              <w:t>.</w:t>
            </w:r>
            <w:r>
              <w:rPr>
                <w:lang w:val="en-US"/>
              </w:rPr>
              <w:t>10</w:t>
            </w:r>
            <w:r>
              <w:t>-11.</w:t>
            </w:r>
            <w:r>
              <w:rPr>
                <w:lang w:val="en-US"/>
              </w:rPr>
              <w:t>25</w:t>
            </w:r>
          </w:p>
        </w:tc>
        <w:tc>
          <w:tcPr>
            <w:tcW w:w="4930" w:type="dxa"/>
            <w:tcMar>
              <w:top w:w="20" w:type="dxa"/>
              <w:left w:w="40" w:type="dxa"/>
              <w:bottom w:w="20" w:type="dxa"/>
              <w:right w:w="40" w:type="dxa"/>
            </w:tcMar>
          </w:tcPr>
          <w:p w:rsidR="00FB59F5" w:rsidRDefault="00FB59F5" w:rsidP="008A065E">
            <w:pPr>
              <w:rPr>
                <w:bCs/>
                <w:lang w:val="en-US"/>
              </w:rPr>
            </w:pPr>
            <w:proofErr w:type="spellStart"/>
            <w:r>
              <w:rPr>
                <w:bCs/>
                <w:lang w:val="en-US"/>
              </w:rPr>
              <w:t>SoNAR</w:t>
            </w:r>
            <w:proofErr w:type="spellEnd"/>
            <w:r>
              <w:rPr>
                <w:bCs/>
                <w:lang w:val="en-US"/>
              </w:rPr>
              <w:t xml:space="preserve"> Global presentation</w:t>
            </w:r>
          </w:p>
          <w:p w:rsidR="00FB59F5" w:rsidRDefault="00FB59F5" w:rsidP="008A065E">
            <w:pPr>
              <w:rPr>
                <w:bCs/>
                <w:lang w:val="en-US"/>
              </w:rPr>
            </w:pPr>
            <w:r>
              <w:rPr>
                <w:bCs/>
                <w:lang w:val="en-US"/>
              </w:rPr>
              <w:t>Topic TBD</w:t>
            </w:r>
          </w:p>
          <w:p w:rsidR="00FB59F5" w:rsidRPr="002F3643" w:rsidRDefault="00FB59F5" w:rsidP="008A065E">
            <w:pPr>
              <w:rPr>
                <w:lang w:val="en-US"/>
              </w:rPr>
            </w:pPr>
          </w:p>
        </w:tc>
        <w:tc>
          <w:tcPr>
            <w:tcW w:w="3279" w:type="dxa"/>
          </w:tcPr>
          <w:p w:rsidR="00FB59F5" w:rsidRPr="00340EB8" w:rsidRDefault="00FB59F5" w:rsidP="008A065E">
            <w:pPr>
              <w:rPr>
                <w:iCs/>
                <w:lang w:val="en-US"/>
              </w:rPr>
            </w:pPr>
            <w:proofErr w:type="spellStart"/>
            <w:r>
              <w:rPr>
                <w:iCs/>
                <w:lang w:val="en-US"/>
              </w:rPr>
              <w:t>SoNAR</w:t>
            </w:r>
            <w:proofErr w:type="spellEnd"/>
            <w:r>
              <w:rPr>
                <w:iCs/>
                <w:lang w:val="en-US"/>
              </w:rPr>
              <w:t xml:space="preserve"> project representative</w:t>
            </w:r>
          </w:p>
          <w:p w:rsidR="00FB59F5" w:rsidRPr="00052939" w:rsidRDefault="00FB59F5" w:rsidP="008A065E">
            <w:pPr>
              <w:rPr>
                <w:iCs/>
              </w:rPr>
            </w:pPr>
          </w:p>
        </w:tc>
      </w:tr>
      <w:tr w:rsidR="00FB59F5" w:rsidRPr="00052939" w:rsidTr="008A065E">
        <w:trPr>
          <w:gridAfter w:val="1"/>
          <w:wAfter w:w="16" w:type="dxa"/>
          <w:trHeight w:val="429"/>
        </w:trPr>
        <w:tc>
          <w:tcPr>
            <w:tcW w:w="1458" w:type="dxa"/>
            <w:tcMar>
              <w:top w:w="20" w:type="dxa"/>
              <w:left w:w="40" w:type="dxa"/>
              <w:bottom w:w="20" w:type="dxa"/>
              <w:right w:w="40" w:type="dxa"/>
            </w:tcMar>
          </w:tcPr>
          <w:p w:rsidR="00FB59F5" w:rsidRPr="00BC4690" w:rsidRDefault="00FB59F5" w:rsidP="008A065E">
            <w:pPr>
              <w:rPr>
                <w:lang w:val="en-US"/>
              </w:rPr>
            </w:pPr>
            <w:r w:rsidRPr="00DD2282">
              <w:t>1</w:t>
            </w:r>
            <w:r>
              <w:rPr>
                <w:lang w:val="en-US"/>
              </w:rPr>
              <w:t>1</w:t>
            </w:r>
            <w:r w:rsidRPr="00DD2282">
              <w:t>.</w:t>
            </w:r>
            <w:r>
              <w:t>25</w:t>
            </w:r>
            <w:r w:rsidRPr="00DD2282">
              <w:t>-1</w:t>
            </w:r>
            <w:r>
              <w:rPr>
                <w:lang w:val="en-US"/>
              </w:rPr>
              <w:t>1</w:t>
            </w:r>
            <w:r w:rsidRPr="00DD2282">
              <w:t>.</w:t>
            </w:r>
            <w:r>
              <w:t>35</w:t>
            </w:r>
          </w:p>
        </w:tc>
        <w:tc>
          <w:tcPr>
            <w:tcW w:w="4930" w:type="dxa"/>
            <w:tcMar>
              <w:top w:w="20" w:type="dxa"/>
              <w:left w:w="40" w:type="dxa"/>
              <w:bottom w:w="20" w:type="dxa"/>
              <w:right w:w="40" w:type="dxa"/>
            </w:tcMar>
          </w:tcPr>
          <w:p w:rsidR="00FB59F5" w:rsidRPr="00FB59F5" w:rsidRDefault="00FB59F5" w:rsidP="008A065E">
            <w:pPr>
              <w:rPr>
                <w:lang w:val="en-US"/>
              </w:rPr>
            </w:pPr>
            <w:r>
              <w:rPr>
                <w:lang w:val="en-US"/>
              </w:rPr>
              <w:t>Presentation of Ukraine “Vaccination during COVID-19 and quarantine lifting”</w:t>
            </w:r>
          </w:p>
        </w:tc>
        <w:tc>
          <w:tcPr>
            <w:tcW w:w="3279" w:type="dxa"/>
          </w:tcPr>
          <w:p w:rsidR="00FB59F5" w:rsidRDefault="00FB59F5" w:rsidP="008A065E">
            <w:pPr>
              <w:rPr>
                <w:iCs/>
                <w:lang w:val="en-US"/>
              </w:rPr>
            </w:pPr>
            <w:r>
              <w:rPr>
                <w:iCs/>
                <w:lang w:val="en-US"/>
              </w:rPr>
              <w:t>PHC MOH of Ukraine</w:t>
            </w:r>
          </w:p>
          <w:p w:rsidR="00FB59F5" w:rsidRPr="002F3643" w:rsidRDefault="00FB59F5" w:rsidP="008A065E">
            <w:pPr>
              <w:rPr>
                <w:iCs/>
                <w:lang w:val="en-US"/>
              </w:rPr>
            </w:pPr>
          </w:p>
          <w:p w:rsidR="00FB59F5" w:rsidRPr="00052939" w:rsidRDefault="00FB59F5" w:rsidP="008A065E">
            <w:pPr>
              <w:rPr>
                <w:iCs/>
              </w:rPr>
            </w:pPr>
          </w:p>
        </w:tc>
      </w:tr>
      <w:tr w:rsidR="00FB59F5" w:rsidRPr="00052939" w:rsidTr="008A065E">
        <w:trPr>
          <w:gridAfter w:val="1"/>
          <w:wAfter w:w="16" w:type="dxa"/>
          <w:trHeight w:val="429"/>
        </w:trPr>
        <w:tc>
          <w:tcPr>
            <w:tcW w:w="1458" w:type="dxa"/>
            <w:tcMar>
              <w:top w:w="20" w:type="dxa"/>
              <w:left w:w="40" w:type="dxa"/>
              <w:bottom w:w="20" w:type="dxa"/>
              <w:right w:w="40" w:type="dxa"/>
            </w:tcMar>
          </w:tcPr>
          <w:p w:rsidR="00FB59F5" w:rsidRPr="00B017FE" w:rsidRDefault="00FB59F5" w:rsidP="008A065E">
            <w:r w:rsidRPr="00B017FE">
              <w:t>11.</w:t>
            </w:r>
            <w:r>
              <w:t>35</w:t>
            </w:r>
            <w:r w:rsidRPr="00B017FE">
              <w:t>-11.</w:t>
            </w:r>
            <w:r>
              <w:rPr>
                <w:lang w:val="en-US"/>
              </w:rPr>
              <w:t>5</w:t>
            </w:r>
            <w:r w:rsidRPr="00B017FE">
              <w:t>0</w:t>
            </w:r>
          </w:p>
        </w:tc>
        <w:tc>
          <w:tcPr>
            <w:tcW w:w="4930" w:type="dxa"/>
            <w:tcMar>
              <w:top w:w="20" w:type="dxa"/>
              <w:left w:w="40" w:type="dxa"/>
              <w:bottom w:w="20" w:type="dxa"/>
              <w:right w:w="40" w:type="dxa"/>
            </w:tcMar>
          </w:tcPr>
          <w:p w:rsidR="00FB59F5" w:rsidRDefault="00FB59F5" w:rsidP="008A065E">
            <w:pPr>
              <w:rPr>
                <w:color w:val="000000"/>
                <w:lang w:val="en-US"/>
              </w:rPr>
            </w:pPr>
            <w:proofErr w:type="spellStart"/>
            <w:r>
              <w:rPr>
                <w:color w:val="000000"/>
                <w:lang w:val="en-US"/>
              </w:rPr>
              <w:t>MediPIET</w:t>
            </w:r>
            <w:proofErr w:type="spellEnd"/>
            <w:r>
              <w:rPr>
                <w:color w:val="000000"/>
                <w:lang w:val="en-US"/>
              </w:rPr>
              <w:t xml:space="preserve"> presentation</w:t>
            </w:r>
          </w:p>
          <w:p w:rsidR="00FB59F5" w:rsidRDefault="00FB59F5" w:rsidP="008A065E">
            <w:pPr>
              <w:rPr>
                <w:bCs/>
                <w:lang w:val="en-US"/>
              </w:rPr>
            </w:pPr>
            <w:r>
              <w:rPr>
                <w:bCs/>
                <w:lang w:val="en-US"/>
              </w:rPr>
              <w:t>Topic TBD</w:t>
            </w:r>
          </w:p>
          <w:p w:rsidR="00FB59F5" w:rsidRPr="006B2C66" w:rsidRDefault="00FB59F5" w:rsidP="008A065E">
            <w:pPr>
              <w:rPr>
                <w:color w:val="000000"/>
                <w:lang w:val="en-US"/>
              </w:rPr>
            </w:pPr>
          </w:p>
        </w:tc>
        <w:tc>
          <w:tcPr>
            <w:tcW w:w="3279" w:type="dxa"/>
          </w:tcPr>
          <w:p w:rsidR="00FB59F5" w:rsidRPr="00155D61" w:rsidRDefault="00FB59F5" w:rsidP="008A065E">
            <w:pPr>
              <w:rPr>
                <w:iCs/>
                <w:lang w:val="en-US"/>
              </w:rPr>
            </w:pPr>
            <w:proofErr w:type="spellStart"/>
            <w:r>
              <w:rPr>
                <w:iCs/>
                <w:lang w:val="en-US"/>
              </w:rPr>
              <w:t>MediPIET</w:t>
            </w:r>
            <w:proofErr w:type="spellEnd"/>
            <w:r>
              <w:rPr>
                <w:iCs/>
                <w:lang w:val="en-US"/>
              </w:rPr>
              <w:t xml:space="preserve"> representative</w:t>
            </w:r>
          </w:p>
        </w:tc>
      </w:tr>
      <w:tr w:rsidR="00FB59F5" w:rsidRPr="00FB59F5" w:rsidTr="008A065E">
        <w:trPr>
          <w:gridAfter w:val="1"/>
          <w:wAfter w:w="16" w:type="dxa"/>
          <w:trHeight w:val="429"/>
        </w:trPr>
        <w:tc>
          <w:tcPr>
            <w:tcW w:w="1458" w:type="dxa"/>
            <w:tcMar>
              <w:top w:w="20" w:type="dxa"/>
              <w:left w:w="40" w:type="dxa"/>
              <w:bottom w:w="20" w:type="dxa"/>
              <w:right w:w="40" w:type="dxa"/>
            </w:tcMar>
            <w:hideMark/>
          </w:tcPr>
          <w:p w:rsidR="00FB59F5" w:rsidRPr="00B017FE" w:rsidRDefault="00FB59F5" w:rsidP="008A065E">
            <w:r>
              <w:rPr>
                <w:lang w:val="en-US"/>
              </w:rPr>
              <w:t>11</w:t>
            </w:r>
            <w:r w:rsidRPr="00B017FE">
              <w:t>.</w:t>
            </w:r>
            <w:r>
              <w:rPr>
                <w:lang w:val="en-US"/>
              </w:rPr>
              <w:t>5</w:t>
            </w:r>
            <w:r w:rsidRPr="00B017FE">
              <w:t>0-</w:t>
            </w:r>
            <w:r>
              <w:t>12.</w:t>
            </w:r>
            <w:r>
              <w:rPr>
                <w:lang w:val="en-US"/>
              </w:rPr>
              <w:t>0</w:t>
            </w:r>
            <w:r>
              <w:t>0</w:t>
            </w:r>
          </w:p>
        </w:tc>
        <w:tc>
          <w:tcPr>
            <w:tcW w:w="4930" w:type="dxa"/>
            <w:tcMar>
              <w:top w:w="20" w:type="dxa"/>
              <w:left w:w="40" w:type="dxa"/>
              <w:bottom w:w="20" w:type="dxa"/>
              <w:right w:w="40" w:type="dxa"/>
            </w:tcMar>
          </w:tcPr>
          <w:p w:rsidR="00FB59F5" w:rsidRPr="006B2C66" w:rsidRDefault="00FB59F5" w:rsidP="008A065E">
            <w:pPr>
              <w:rPr>
                <w:color w:val="000000"/>
                <w:lang w:val="en-US"/>
              </w:rPr>
            </w:pPr>
            <w:r>
              <w:rPr>
                <w:lang w:val="en-US"/>
              </w:rPr>
              <w:t>Presentation of Armenia “Vaccination during COVID-19 and quarantine lifting”</w:t>
            </w:r>
          </w:p>
        </w:tc>
        <w:tc>
          <w:tcPr>
            <w:tcW w:w="3279" w:type="dxa"/>
          </w:tcPr>
          <w:p w:rsidR="00FB59F5" w:rsidRPr="003253F1" w:rsidRDefault="00FB59F5" w:rsidP="008A065E">
            <w:pPr>
              <w:rPr>
                <w:iCs/>
                <w:lang w:val="en-US"/>
              </w:rPr>
            </w:pPr>
            <w:r w:rsidRPr="003253F1">
              <w:rPr>
                <w:iCs/>
                <w:lang w:val="en-US"/>
              </w:rPr>
              <w:t>Representative of National Center for Disease Control and Prevention Ministry of Health Republic of Armenia</w:t>
            </w:r>
          </w:p>
        </w:tc>
      </w:tr>
      <w:tr w:rsidR="00FB59F5" w:rsidRPr="00FB59F5" w:rsidTr="008A065E">
        <w:trPr>
          <w:gridAfter w:val="1"/>
          <w:wAfter w:w="16" w:type="dxa"/>
          <w:trHeight w:val="429"/>
        </w:trPr>
        <w:tc>
          <w:tcPr>
            <w:tcW w:w="1458" w:type="dxa"/>
            <w:tcMar>
              <w:top w:w="20" w:type="dxa"/>
              <w:left w:w="40" w:type="dxa"/>
              <w:bottom w:w="20" w:type="dxa"/>
              <w:right w:w="40" w:type="dxa"/>
            </w:tcMar>
          </w:tcPr>
          <w:p w:rsidR="00FB59F5" w:rsidRDefault="00FB59F5" w:rsidP="008A065E">
            <w:r>
              <w:t>12.</w:t>
            </w:r>
            <w:r>
              <w:rPr>
                <w:lang w:val="en-US"/>
              </w:rPr>
              <w:t>0</w:t>
            </w:r>
            <w:r>
              <w:t>0-1</w:t>
            </w:r>
            <w:r>
              <w:rPr>
                <w:lang w:val="en-US"/>
              </w:rPr>
              <w:t>2</w:t>
            </w:r>
            <w:r>
              <w:t>.</w:t>
            </w:r>
            <w:r>
              <w:rPr>
                <w:lang w:val="en-US"/>
              </w:rPr>
              <w:t>1</w:t>
            </w:r>
            <w:r>
              <w:t>0</w:t>
            </w:r>
          </w:p>
        </w:tc>
        <w:tc>
          <w:tcPr>
            <w:tcW w:w="4930" w:type="dxa"/>
            <w:tcMar>
              <w:top w:w="20" w:type="dxa"/>
              <w:left w:w="40" w:type="dxa"/>
              <w:bottom w:w="20" w:type="dxa"/>
              <w:right w:w="40" w:type="dxa"/>
            </w:tcMar>
          </w:tcPr>
          <w:p w:rsidR="00FB59F5" w:rsidRPr="006B2C66" w:rsidRDefault="00FB59F5" w:rsidP="008A065E">
            <w:pPr>
              <w:rPr>
                <w:color w:val="000000"/>
                <w:lang w:val="en-US"/>
              </w:rPr>
            </w:pPr>
            <w:r>
              <w:rPr>
                <w:lang w:val="en-US"/>
              </w:rPr>
              <w:t>Presentation of Georgia vaccination “Vaccination during COVID-19 and quarantine lifting”</w:t>
            </w:r>
          </w:p>
        </w:tc>
        <w:tc>
          <w:tcPr>
            <w:tcW w:w="3279" w:type="dxa"/>
          </w:tcPr>
          <w:p w:rsidR="00FB59F5" w:rsidRPr="00FB59F5" w:rsidRDefault="00FB59F5" w:rsidP="008A065E">
            <w:pPr>
              <w:rPr>
                <w:iCs/>
                <w:lang w:val="en-US"/>
              </w:rPr>
            </w:pPr>
            <w:r>
              <w:rPr>
                <w:iCs/>
                <w:lang w:val="en-US"/>
              </w:rPr>
              <w:t>Representative of the</w:t>
            </w:r>
            <w:r w:rsidRPr="00936155">
              <w:rPr>
                <w:iCs/>
                <w:lang w:val="en-US"/>
              </w:rPr>
              <w:tab/>
              <w:t>National Center for Disease Control and Public Health of Georgia</w:t>
            </w:r>
            <w:r w:rsidRPr="00FB59F5">
              <w:rPr>
                <w:iCs/>
                <w:lang w:val="en-US"/>
              </w:rPr>
              <w:t xml:space="preserve"> </w:t>
            </w:r>
          </w:p>
        </w:tc>
      </w:tr>
      <w:tr w:rsidR="00FB59F5" w:rsidRPr="00FB59F5" w:rsidTr="008A065E">
        <w:trPr>
          <w:gridAfter w:val="1"/>
          <w:wAfter w:w="16" w:type="dxa"/>
        </w:trPr>
        <w:tc>
          <w:tcPr>
            <w:tcW w:w="1458" w:type="dxa"/>
            <w:tcMar>
              <w:top w:w="20" w:type="dxa"/>
              <w:left w:w="40" w:type="dxa"/>
              <w:bottom w:w="20" w:type="dxa"/>
              <w:right w:w="40" w:type="dxa"/>
            </w:tcMar>
          </w:tcPr>
          <w:p w:rsidR="00FB59F5" w:rsidRPr="00B017FE" w:rsidRDefault="00FB59F5" w:rsidP="008A065E">
            <w:r>
              <w:t>1</w:t>
            </w:r>
            <w:r>
              <w:rPr>
                <w:lang w:val="en-US"/>
              </w:rPr>
              <w:t>2</w:t>
            </w:r>
            <w:r>
              <w:t>.10-1</w:t>
            </w:r>
            <w:r>
              <w:rPr>
                <w:lang w:val="en-US"/>
              </w:rPr>
              <w:t>2</w:t>
            </w:r>
            <w:r>
              <w:t>.</w:t>
            </w:r>
            <w:r>
              <w:rPr>
                <w:lang w:val="en-US"/>
              </w:rPr>
              <w:t>2</w:t>
            </w:r>
            <w:r>
              <w:t>0</w:t>
            </w:r>
          </w:p>
        </w:tc>
        <w:tc>
          <w:tcPr>
            <w:tcW w:w="4930" w:type="dxa"/>
            <w:shd w:val="clear" w:color="auto" w:fill="auto"/>
            <w:tcMar>
              <w:top w:w="20" w:type="dxa"/>
              <w:left w:w="40" w:type="dxa"/>
              <w:bottom w:w="20" w:type="dxa"/>
              <w:right w:w="40" w:type="dxa"/>
            </w:tcMar>
          </w:tcPr>
          <w:p w:rsidR="00FB59F5" w:rsidRPr="00453687" w:rsidRDefault="00FB59F5" w:rsidP="008A065E">
            <w:pPr>
              <w:rPr>
                <w:lang w:val="en-US"/>
              </w:rPr>
            </w:pPr>
            <w:r>
              <w:rPr>
                <w:lang w:val="en-US"/>
              </w:rPr>
              <w:t xml:space="preserve">Presentation of Moldova </w:t>
            </w:r>
            <w:r w:rsidRPr="00382B34">
              <w:rPr>
                <w:lang w:val="en-US"/>
              </w:rPr>
              <w:t>“Vaccination during COVID-19 and quarantine lifting”</w:t>
            </w:r>
          </w:p>
        </w:tc>
        <w:tc>
          <w:tcPr>
            <w:tcW w:w="3279" w:type="dxa"/>
          </w:tcPr>
          <w:p w:rsidR="00FB59F5" w:rsidRPr="00453687" w:rsidRDefault="00FB59F5" w:rsidP="008A065E">
            <w:pPr>
              <w:rPr>
                <w:iCs/>
                <w:lang w:val="en-US"/>
              </w:rPr>
            </w:pPr>
            <w:r>
              <w:rPr>
                <w:iCs/>
                <w:lang w:val="en-US"/>
              </w:rPr>
              <w:t xml:space="preserve">Representative of the </w:t>
            </w:r>
            <w:r w:rsidRPr="007B7F11">
              <w:rPr>
                <w:iCs/>
                <w:lang w:val="en-US"/>
              </w:rPr>
              <w:tab/>
              <w:t>National Agency for Public Health Republic of Moldova</w:t>
            </w:r>
          </w:p>
        </w:tc>
      </w:tr>
      <w:tr w:rsidR="00FB59F5" w:rsidRPr="00B97064" w:rsidTr="008A065E">
        <w:trPr>
          <w:gridAfter w:val="1"/>
          <w:wAfter w:w="16" w:type="dxa"/>
          <w:trHeight w:val="583"/>
        </w:trPr>
        <w:tc>
          <w:tcPr>
            <w:tcW w:w="1458" w:type="dxa"/>
            <w:tcMar>
              <w:top w:w="20" w:type="dxa"/>
              <w:left w:w="40" w:type="dxa"/>
              <w:bottom w:w="20" w:type="dxa"/>
              <w:right w:w="40" w:type="dxa"/>
            </w:tcMar>
          </w:tcPr>
          <w:p w:rsidR="00FB59F5" w:rsidRPr="00C0400C" w:rsidRDefault="00FB59F5" w:rsidP="008A065E">
            <w:pPr>
              <w:rPr>
                <w:lang w:val="en-US"/>
              </w:rPr>
            </w:pPr>
            <w:r>
              <w:rPr>
                <w:lang w:val="en-US"/>
              </w:rPr>
              <w:t>12.20-12.40</w:t>
            </w:r>
          </w:p>
        </w:tc>
        <w:tc>
          <w:tcPr>
            <w:tcW w:w="4930" w:type="dxa"/>
            <w:shd w:val="clear" w:color="auto" w:fill="auto"/>
            <w:tcMar>
              <w:top w:w="20" w:type="dxa"/>
              <w:left w:w="40" w:type="dxa"/>
              <w:bottom w:w="20" w:type="dxa"/>
              <w:right w:w="40" w:type="dxa"/>
            </w:tcMar>
          </w:tcPr>
          <w:p w:rsidR="00FB59F5" w:rsidRDefault="00FB59F5" w:rsidP="008A065E">
            <w:pPr>
              <w:rPr>
                <w:lang w:val="en-US"/>
              </w:rPr>
            </w:pPr>
            <w:r>
              <w:rPr>
                <w:lang w:val="en-US"/>
              </w:rPr>
              <w:t>Discussion, questions and answers session</w:t>
            </w:r>
          </w:p>
          <w:p w:rsidR="00FB59F5" w:rsidRPr="00841394" w:rsidRDefault="00FB59F5" w:rsidP="008A065E">
            <w:pPr>
              <w:rPr>
                <w:lang w:val="en-US"/>
              </w:rPr>
            </w:pPr>
          </w:p>
        </w:tc>
        <w:tc>
          <w:tcPr>
            <w:tcW w:w="3279" w:type="dxa"/>
          </w:tcPr>
          <w:p w:rsidR="00FB59F5" w:rsidRPr="00B429B4" w:rsidRDefault="00FB59F5" w:rsidP="008A065E">
            <w:pPr>
              <w:rPr>
                <w:iCs/>
                <w:lang w:val="en-US"/>
              </w:rPr>
            </w:pPr>
            <w:r>
              <w:rPr>
                <w:iCs/>
                <w:lang w:val="en-US"/>
              </w:rPr>
              <w:t>All participants</w:t>
            </w:r>
          </w:p>
          <w:p w:rsidR="00FB59F5" w:rsidRDefault="00FB59F5" w:rsidP="008A065E">
            <w:pPr>
              <w:ind w:left="30" w:hanging="111"/>
              <w:rPr>
                <w:iCs/>
                <w:lang w:val="en-US"/>
              </w:rPr>
            </w:pPr>
          </w:p>
          <w:p w:rsidR="00FB59F5" w:rsidRDefault="00FB59F5" w:rsidP="008A065E">
            <w:pPr>
              <w:ind w:left="30" w:hanging="111"/>
              <w:rPr>
                <w:iCs/>
                <w:lang w:val="en-US"/>
              </w:rPr>
            </w:pPr>
          </w:p>
          <w:p w:rsidR="00FB59F5" w:rsidRPr="00841394" w:rsidRDefault="00FB59F5" w:rsidP="008A065E">
            <w:pPr>
              <w:ind w:left="30"/>
              <w:rPr>
                <w:iCs/>
                <w:lang w:val="en-US"/>
              </w:rPr>
            </w:pPr>
          </w:p>
        </w:tc>
      </w:tr>
      <w:tr w:rsidR="00FB59F5" w:rsidRPr="00052939" w:rsidTr="008A065E">
        <w:trPr>
          <w:gridAfter w:val="1"/>
          <w:wAfter w:w="16" w:type="dxa"/>
        </w:trPr>
        <w:tc>
          <w:tcPr>
            <w:tcW w:w="1458" w:type="dxa"/>
            <w:tcMar>
              <w:top w:w="20" w:type="dxa"/>
              <w:left w:w="40" w:type="dxa"/>
              <w:bottom w:w="20" w:type="dxa"/>
              <w:right w:w="40" w:type="dxa"/>
            </w:tcMar>
          </w:tcPr>
          <w:p w:rsidR="00FB59F5" w:rsidRPr="00762608" w:rsidRDefault="00FB59F5" w:rsidP="008A065E">
            <w:pPr>
              <w:rPr>
                <w:lang w:val="en-US"/>
              </w:rPr>
            </w:pPr>
            <w:r>
              <w:t>1</w:t>
            </w:r>
            <w:r>
              <w:rPr>
                <w:lang w:val="en-US"/>
              </w:rPr>
              <w:t>2</w:t>
            </w:r>
            <w:r>
              <w:t>.</w:t>
            </w:r>
            <w:r>
              <w:rPr>
                <w:lang w:val="en-US"/>
              </w:rPr>
              <w:t>40</w:t>
            </w:r>
            <w:r>
              <w:t>-1</w:t>
            </w:r>
            <w:r>
              <w:rPr>
                <w:lang w:val="en-US"/>
              </w:rPr>
              <w:t>2</w:t>
            </w:r>
            <w:r>
              <w:t>.</w:t>
            </w:r>
            <w:r>
              <w:rPr>
                <w:lang w:val="en-US"/>
              </w:rPr>
              <w:t>45</w:t>
            </w:r>
          </w:p>
        </w:tc>
        <w:tc>
          <w:tcPr>
            <w:tcW w:w="4930" w:type="dxa"/>
            <w:shd w:val="clear" w:color="auto" w:fill="auto"/>
            <w:tcMar>
              <w:top w:w="20" w:type="dxa"/>
              <w:left w:w="40" w:type="dxa"/>
              <w:bottom w:w="20" w:type="dxa"/>
              <w:right w:w="40" w:type="dxa"/>
            </w:tcMar>
          </w:tcPr>
          <w:p w:rsidR="00FB59F5" w:rsidRPr="00936155" w:rsidRDefault="00FB59F5" w:rsidP="008A065E">
            <w:pPr>
              <w:rPr>
                <w:lang w:val="en-US"/>
              </w:rPr>
            </w:pPr>
            <w:r>
              <w:rPr>
                <w:lang w:val="en-US"/>
              </w:rPr>
              <w:t>Closing, regional hub prospective</w:t>
            </w:r>
          </w:p>
        </w:tc>
        <w:tc>
          <w:tcPr>
            <w:tcW w:w="3279" w:type="dxa"/>
          </w:tcPr>
          <w:p w:rsidR="00FB59F5" w:rsidRPr="00936155" w:rsidRDefault="00FB59F5" w:rsidP="008A065E">
            <w:pPr>
              <w:rPr>
                <w:iCs/>
                <w:lang w:val="en-US"/>
              </w:rPr>
            </w:pPr>
            <w:r>
              <w:rPr>
                <w:iCs/>
                <w:lang w:val="en-US"/>
              </w:rPr>
              <w:t>PHC MOH of Ukraine</w:t>
            </w:r>
          </w:p>
        </w:tc>
      </w:tr>
    </w:tbl>
    <w:p w:rsidR="00C90C75" w:rsidRPr="00FB59F5" w:rsidRDefault="00C90C75" w:rsidP="0041141A">
      <w:pPr>
        <w:jc w:val="both"/>
      </w:pPr>
    </w:p>
    <w:sectPr w:rsidR="00C90C75" w:rsidRPr="00FB59F5">
      <w:footerReference w:type="default" r:id="rId11"/>
      <w:pgSz w:w="11906" w:h="16838"/>
      <w:pgMar w:top="1418" w:right="1418" w:bottom="1418" w:left="1418" w:header="709" w:footer="9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7258" w:rsidRDefault="00827258">
      <w:r>
        <w:separator/>
      </w:r>
    </w:p>
  </w:endnote>
  <w:endnote w:type="continuationSeparator" w:id="0">
    <w:p w:rsidR="00827258" w:rsidRDefault="00827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FEA" w:rsidRDefault="00524F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7258" w:rsidRDefault="00827258">
      <w:r>
        <w:separator/>
      </w:r>
    </w:p>
  </w:footnote>
  <w:footnote w:type="continuationSeparator" w:id="0">
    <w:p w:rsidR="00827258" w:rsidRDefault="008272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405B4"/>
    <w:multiLevelType w:val="hybridMultilevel"/>
    <w:tmpl w:val="CC3E0598"/>
    <w:lvl w:ilvl="0" w:tplc="DBBC4E3C">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5A006950"/>
    <w:multiLevelType w:val="hybridMultilevel"/>
    <w:tmpl w:val="FF7CE5D6"/>
    <w:lvl w:ilvl="0" w:tplc="C754621A">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7EB9497C"/>
    <w:multiLevelType w:val="hybridMultilevel"/>
    <w:tmpl w:val="AB4C2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626"/>
    <w:rsid w:val="00034F30"/>
    <w:rsid w:val="00046A3A"/>
    <w:rsid w:val="00135C5E"/>
    <w:rsid w:val="00145D52"/>
    <w:rsid w:val="001A1E0E"/>
    <w:rsid w:val="001A22F6"/>
    <w:rsid w:val="00203BB9"/>
    <w:rsid w:val="0025710B"/>
    <w:rsid w:val="00265123"/>
    <w:rsid w:val="002715E0"/>
    <w:rsid w:val="002D2CEB"/>
    <w:rsid w:val="003413D4"/>
    <w:rsid w:val="00346EC3"/>
    <w:rsid w:val="00360702"/>
    <w:rsid w:val="003C46EB"/>
    <w:rsid w:val="0041141A"/>
    <w:rsid w:val="0041584F"/>
    <w:rsid w:val="00434DE9"/>
    <w:rsid w:val="004351F4"/>
    <w:rsid w:val="0044253B"/>
    <w:rsid w:val="004B5124"/>
    <w:rsid w:val="004D2EAC"/>
    <w:rsid w:val="00524FEA"/>
    <w:rsid w:val="005266AB"/>
    <w:rsid w:val="00541C83"/>
    <w:rsid w:val="005A4ED5"/>
    <w:rsid w:val="00615F00"/>
    <w:rsid w:val="006C47E9"/>
    <w:rsid w:val="00743537"/>
    <w:rsid w:val="0078304D"/>
    <w:rsid w:val="00794686"/>
    <w:rsid w:val="007A6843"/>
    <w:rsid w:val="00805E80"/>
    <w:rsid w:val="00825BB4"/>
    <w:rsid w:val="00827258"/>
    <w:rsid w:val="008D72E7"/>
    <w:rsid w:val="008E095C"/>
    <w:rsid w:val="00917621"/>
    <w:rsid w:val="00953626"/>
    <w:rsid w:val="0097287C"/>
    <w:rsid w:val="009E4AC6"/>
    <w:rsid w:val="009F0EAA"/>
    <w:rsid w:val="009F4454"/>
    <w:rsid w:val="00A045EC"/>
    <w:rsid w:val="00A258A5"/>
    <w:rsid w:val="00AB0746"/>
    <w:rsid w:val="00AC72F4"/>
    <w:rsid w:val="00AF650F"/>
    <w:rsid w:val="00B05433"/>
    <w:rsid w:val="00B50B86"/>
    <w:rsid w:val="00B95266"/>
    <w:rsid w:val="00C90C75"/>
    <w:rsid w:val="00CB6C53"/>
    <w:rsid w:val="00D94078"/>
    <w:rsid w:val="00DF0B75"/>
    <w:rsid w:val="00E230A9"/>
    <w:rsid w:val="00E3094A"/>
    <w:rsid w:val="00E91493"/>
    <w:rsid w:val="00E92F0E"/>
    <w:rsid w:val="00F23929"/>
    <w:rsid w:val="00FB5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8AE0C86"/>
  <w15:chartTrackingRefBased/>
  <w15:docId w15:val="{B4722A2C-225A-45A6-843B-270F0091A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rPr>
      <w:rFonts w:eastAsia="Times New Roman"/>
    </w:rPr>
  </w:style>
  <w:style w:type="paragraph" w:styleId="Footer">
    <w:name w:val="footer"/>
    <w:basedOn w:val="Normal"/>
    <w:pPr>
      <w:tabs>
        <w:tab w:val="center" w:pos="4536"/>
        <w:tab w:val="right" w:pos="9072"/>
      </w:tabs>
    </w:pPr>
  </w:style>
  <w:style w:type="paragraph" w:styleId="BodyText">
    <w:name w:val="Body Text"/>
    <w:basedOn w:val="Normal"/>
    <w:pPr>
      <w:jc w:val="both"/>
    </w:pPr>
  </w:style>
  <w:style w:type="paragraph" w:styleId="BodyText2">
    <w:name w:val="Body Text 2"/>
    <w:basedOn w:val="Normal"/>
    <w:pPr>
      <w:ind w:right="190"/>
      <w:jc w:val="both"/>
    </w:pPr>
    <w:rPr>
      <w:rFonts w:eastAsia="Times New Roman"/>
    </w:rPr>
  </w:style>
  <w:style w:type="paragraph" w:styleId="HTMLPreformatted">
    <w:name w:val="HTML Preformatted"/>
    <w:basedOn w:val="Normal"/>
    <w:link w:val="HTMLPreformattedChar"/>
    <w:uiPriority w:val="99"/>
    <w:semiHidden/>
    <w:unhideWhenUsed/>
    <w:rsid w:val="007A6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en-US" w:eastAsia="en-US"/>
    </w:rPr>
  </w:style>
  <w:style w:type="character" w:customStyle="1" w:styleId="HTMLPreformattedChar">
    <w:name w:val="HTML Preformatted Char"/>
    <w:link w:val="HTMLPreformatted"/>
    <w:uiPriority w:val="99"/>
    <w:semiHidden/>
    <w:rsid w:val="007A6843"/>
    <w:rPr>
      <w:rFonts w:ascii="Courier New" w:eastAsia="Times New Roman" w:hAnsi="Courier New" w:cs="Courier New"/>
    </w:rPr>
  </w:style>
  <w:style w:type="character" w:styleId="Hyperlink">
    <w:name w:val="Hyperlink"/>
    <w:uiPriority w:val="99"/>
    <w:semiHidden/>
    <w:unhideWhenUsed/>
    <w:rsid w:val="00AB0746"/>
    <w:rPr>
      <w:color w:val="0000FF"/>
      <w:u w:val="single"/>
    </w:rPr>
  </w:style>
  <w:style w:type="paragraph" w:styleId="ListParagraph">
    <w:name w:val="List Paragraph"/>
    <w:basedOn w:val="Normal"/>
    <w:uiPriority w:val="34"/>
    <w:qFormat/>
    <w:rsid w:val="00E914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598874">
      <w:bodyDiv w:val="1"/>
      <w:marLeft w:val="0"/>
      <w:marRight w:val="0"/>
      <w:marTop w:val="0"/>
      <w:marBottom w:val="0"/>
      <w:divBdr>
        <w:top w:val="none" w:sz="0" w:space="0" w:color="auto"/>
        <w:left w:val="none" w:sz="0" w:space="0" w:color="auto"/>
        <w:bottom w:val="none" w:sz="0" w:space="0" w:color="auto"/>
        <w:right w:val="none" w:sz="0" w:space="0" w:color="auto"/>
      </w:divBdr>
    </w:div>
    <w:div w:id="2057121217">
      <w:bodyDiv w:val="1"/>
      <w:marLeft w:val="0"/>
      <w:marRight w:val="0"/>
      <w:marTop w:val="0"/>
      <w:marBottom w:val="0"/>
      <w:divBdr>
        <w:top w:val="none" w:sz="0" w:space="0" w:color="auto"/>
        <w:left w:val="none" w:sz="0" w:space="0" w:color="auto"/>
        <w:bottom w:val="none" w:sz="0" w:space="0" w:color="auto"/>
        <w:right w:val="none" w:sz="0" w:space="0" w:color="auto"/>
      </w:divBdr>
      <w:divsChild>
        <w:div w:id="364449861">
          <w:marLeft w:val="0"/>
          <w:marRight w:val="0"/>
          <w:marTop w:val="0"/>
          <w:marBottom w:val="0"/>
          <w:divBdr>
            <w:top w:val="none" w:sz="0" w:space="0" w:color="auto"/>
            <w:left w:val="none" w:sz="0" w:space="0" w:color="auto"/>
            <w:bottom w:val="none" w:sz="0" w:space="0" w:color="auto"/>
            <w:right w:val="none" w:sz="0" w:space="0" w:color="auto"/>
          </w:divBdr>
        </w:div>
        <w:div w:id="473179762">
          <w:marLeft w:val="0"/>
          <w:marRight w:val="0"/>
          <w:marTop w:val="0"/>
          <w:marBottom w:val="0"/>
          <w:divBdr>
            <w:top w:val="none" w:sz="0" w:space="0" w:color="auto"/>
            <w:left w:val="none" w:sz="0" w:space="0" w:color="auto"/>
            <w:bottom w:val="none" w:sz="0" w:space="0" w:color="auto"/>
            <w:right w:val="none" w:sz="0" w:space="0" w:color="auto"/>
          </w:divBdr>
        </w:div>
        <w:div w:id="495615637">
          <w:marLeft w:val="0"/>
          <w:marRight w:val="0"/>
          <w:marTop w:val="0"/>
          <w:marBottom w:val="0"/>
          <w:divBdr>
            <w:top w:val="none" w:sz="0" w:space="0" w:color="auto"/>
            <w:left w:val="none" w:sz="0" w:space="0" w:color="auto"/>
            <w:bottom w:val="none" w:sz="0" w:space="0" w:color="auto"/>
            <w:right w:val="none" w:sz="0" w:space="0" w:color="auto"/>
          </w:divBdr>
        </w:div>
        <w:div w:id="922103481">
          <w:marLeft w:val="0"/>
          <w:marRight w:val="0"/>
          <w:marTop w:val="0"/>
          <w:marBottom w:val="0"/>
          <w:divBdr>
            <w:top w:val="none" w:sz="0" w:space="0" w:color="auto"/>
            <w:left w:val="none" w:sz="0" w:space="0" w:color="auto"/>
            <w:bottom w:val="none" w:sz="0" w:space="0" w:color="auto"/>
            <w:right w:val="none" w:sz="0" w:space="0" w:color="auto"/>
          </w:divBdr>
        </w:div>
        <w:div w:id="990329481">
          <w:marLeft w:val="0"/>
          <w:marRight w:val="0"/>
          <w:marTop w:val="0"/>
          <w:marBottom w:val="0"/>
          <w:divBdr>
            <w:top w:val="none" w:sz="0" w:space="0" w:color="auto"/>
            <w:left w:val="none" w:sz="0" w:space="0" w:color="auto"/>
            <w:bottom w:val="none" w:sz="0" w:space="0" w:color="auto"/>
            <w:right w:val="none" w:sz="0" w:space="0" w:color="auto"/>
          </w:divBdr>
        </w:div>
        <w:div w:id="1094011822">
          <w:marLeft w:val="0"/>
          <w:marRight w:val="0"/>
          <w:marTop w:val="0"/>
          <w:marBottom w:val="0"/>
          <w:divBdr>
            <w:top w:val="none" w:sz="0" w:space="0" w:color="auto"/>
            <w:left w:val="none" w:sz="0" w:space="0" w:color="auto"/>
            <w:bottom w:val="none" w:sz="0" w:space="0" w:color="auto"/>
            <w:right w:val="none" w:sz="0" w:space="0" w:color="auto"/>
          </w:divBdr>
        </w:div>
        <w:div w:id="1472096501">
          <w:marLeft w:val="0"/>
          <w:marRight w:val="0"/>
          <w:marTop w:val="0"/>
          <w:marBottom w:val="0"/>
          <w:divBdr>
            <w:top w:val="none" w:sz="0" w:space="0" w:color="auto"/>
            <w:left w:val="none" w:sz="0" w:space="0" w:color="auto"/>
            <w:bottom w:val="none" w:sz="0" w:space="0" w:color="auto"/>
            <w:right w:val="none" w:sz="0" w:space="0" w:color="auto"/>
          </w:divBdr>
        </w:div>
        <w:div w:id="1674720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206B9-141D-4810-A200-A4F2CC087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968</Words>
  <Characters>5325</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lpstr>
    </vt:vector>
  </TitlesOfParts>
  <Company>ip pasteur</Company>
  <LinksUpToDate>false</LinksUpToDate>
  <CharactersWithSpaces>6281</CharactersWithSpaces>
  <SharedDoc>false</SharedDoc>
  <HLinks>
    <vt:vector size="6" baseType="variant">
      <vt:variant>
        <vt:i4>4194365</vt:i4>
      </vt:variant>
      <vt:variant>
        <vt:i4>3</vt:i4>
      </vt:variant>
      <vt:variant>
        <vt:i4>0</vt:i4>
      </vt:variant>
      <vt:variant>
        <vt:i4>5</vt:i4>
      </vt:variant>
      <vt:variant>
        <vt:lpwstr>mailto:ongmboumontour7@gmail.com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dircis</dc:creator>
  <cp:keywords/>
  <cp:lastModifiedBy>Tamara Giles-Vernick</cp:lastModifiedBy>
  <cp:revision>2</cp:revision>
  <cp:lastPrinted>2008-12-02T09:52:00Z</cp:lastPrinted>
  <dcterms:created xsi:type="dcterms:W3CDTF">2020-07-24T08:29:00Z</dcterms:created>
  <dcterms:modified xsi:type="dcterms:W3CDTF">2020-07-24T08:29:00Z</dcterms:modified>
</cp:coreProperties>
</file>